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4B145" w14:textId="77777777" w:rsidR="00524A08" w:rsidRDefault="00524A08" w:rsidP="00F8031E">
      <w:pPr>
        <w:jc w:val="center"/>
        <w:rPr>
          <w:b/>
          <w:bCs/>
          <w:sz w:val="30"/>
          <w:szCs w:val="30"/>
          <w:u w:val="single"/>
        </w:rPr>
      </w:pPr>
    </w:p>
    <w:p w14:paraId="5CDF4336" w14:textId="4BD3AD85" w:rsidR="00C5013F" w:rsidRPr="001F3486" w:rsidRDefault="00C5013F" w:rsidP="00F8031E">
      <w:pPr>
        <w:jc w:val="center"/>
        <w:rPr>
          <w:b/>
          <w:bCs/>
          <w:sz w:val="30"/>
          <w:szCs w:val="30"/>
          <w:u w:val="single"/>
        </w:rPr>
      </w:pPr>
      <w:r w:rsidRPr="4E1C9522">
        <w:rPr>
          <w:b/>
          <w:bCs/>
          <w:sz w:val="30"/>
          <w:szCs w:val="30"/>
          <w:u w:val="single"/>
        </w:rPr>
        <w:t xml:space="preserve">Testing </w:t>
      </w:r>
      <w:r w:rsidR="00F8031E">
        <w:rPr>
          <w:b/>
          <w:bCs/>
          <w:sz w:val="30"/>
          <w:szCs w:val="30"/>
          <w:u w:val="single"/>
        </w:rPr>
        <w:t>P</w:t>
      </w:r>
      <w:r w:rsidRPr="4E1C9522">
        <w:rPr>
          <w:b/>
          <w:bCs/>
          <w:sz w:val="30"/>
          <w:szCs w:val="30"/>
          <w:u w:val="single"/>
        </w:rPr>
        <w:t>lan</w:t>
      </w:r>
      <w:r w:rsidR="004E1172" w:rsidRPr="4E1C9522">
        <w:rPr>
          <w:b/>
          <w:bCs/>
          <w:sz w:val="30"/>
          <w:szCs w:val="30"/>
          <w:u w:val="single"/>
        </w:rPr>
        <w:t xml:space="preserve"> </w:t>
      </w:r>
      <w:r w:rsidR="00F8031E">
        <w:rPr>
          <w:b/>
          <w:bCs/>
          <w:sz w:val="30"/>
          <w:szCs w:val="30"/>
          <w:u w:val="single"/>
        </w:rPr>
        <w:t>Checklist</w:t>
      </w:r>
    </w:p>
    <w:p w14:paraId="57A554DD" w14:textId="102AF68B" w:rsidR="4E1C9522" w:rsidRDefault="4E1C9522" w:rsidP="4E1C9522">
      <w:pPr>
        <w:rPr>
          <w:b/>
          <w:bCs/>
          <w:u w:val="single"/>
        </w:rPr>
      </w:pPr>
    </w:p>
    <w:p w14:paraId="6635CAE9" w14:textId="731FF4B1" w:rsidR="1E3C2705" w:rsidRDefault="1E3C2705" w:rsidP="4E1C9522">
      <w:pPr>
        <w:rPr>
          <w:b/>
          <w:bCs/>
          <w:u w:val="single"/>
        </w:rPr>
      </w:pPr>
      <w:r w:rsidRPr="4E1C9522">
        <w:rPr>
          <w:b/>
          <w:bCs/>
          <w:u w:val="single"/>
        </w:rPr>
        <w:t>General Issues or plans</w:t>
      </w:r>
    </w:p>
    <w:p w14:paraId="7FD5F8D5" w14:textId="18EE9ECE" w:rsidR="1E3C2705" w:rsidRDefault="1E3C2705" w:rsidP="00F8031E">
      <w:pPr>
        <w:pStyle w:val="ListParagraph"/>
        <w:numPr>
          <w:ilvl w:val="0"/>
          <w:numId w:val="5"/>
        </w:numPr>
      </w:pPr>
      <w:r w:rsidRPr="00F8031E">
        <w:rPr>
          <w:b/>
          <w:bCs/>
        </w:rPr>
        <w:t xml:space="preserve">Screening Protocols. </w:t>
      </w:r>
      <w:r>
        <w:t>Written screening protocols for all actively screening all staff (each shift) and all persons entering the facility, such as vendors, volunteers, and visitors.  Written screening procedures for actively screening all residents upon admission and thereafter, at least once daily, for signs and symptoms.</w:t>
      </w:r>
    </w:p>
    <w:p w14:paraId="2AD59794" w14:textId="3BB89A9E" w:rsidR="1E3C2705" w:rsidRDefault="1E3C2705" w:rsidP="00F8031E">
      <w:pPr>
        <w:pStyle w:val="ListParagraph"/>
        <w:numPr>
          <w:ilvl w:val="0"/>
          <w:numId w:val="5"/>
        </w:numPr>
      </w:pPr>
      <w:r w:rsidRPr="00F8031E">
        <w:rPr>
          <w:b/>
          <w:bCs/>
        </w:rPr>
        <w:t xml:space="preserve">Plan for </w:t>
      </w:r>
      <w:proofErr w:type="spellStart"/>
      <w:r w:rsidRPr="00F8031E">
        <w:rPr>
          <w:b/>
          <w:bCs/>
        </w:rPr>
        <w:t>cohorting</w:t>
      </w:r>
      <w:proofErr w:type="spellEnd"/>
      <w:r w:rsidRPr="00F8031E">
        <w:rPr>
          <w:b/>
          <w:bCs/>
        </w:rPr>
        <w:t xml:space="preserve"> and isolation. </w:t>
      </w:r>
      <w:r>
        <w:t>Plan to isolate residents who have a fever, are symptomatic or test positive for COVID-19.  Plan to quarantine new admissions for 14 days</w:t>
      </w:r>
      <w:r w:rsidRPr="00F8031E">
        <w:rPr>
          <w:rFonts w:ascii="Calibri" w:eastAsia="Calibri" w:hAnsi="Calibri" w:cs="Calibri"/>
        </w:rPr>
        <w:t xml:space="preserve"> and observe for the development of symptoms.</w:t>
      </w:r>
    </w:p>
    <w:p w14:paraId="3FBDD683" w14:textId="6DBC60E3" w:rsidR="1E3C2705" w:rsidRDefault="1E3C2705" w:rsidP="00F8031E">
      <w:pPr>
        <w:pStyle w:val="ListParagraph"/>
        <w:numPr>
          <w:ilvl w:val="0"/>
          <w:numId w:val="5"/>
        </w:numPr>
      </w:pPr>
      <w:r w:rsidRPr="00F8031E">
        <w:rPr>
          <w:b/>
          <w:bCs/>
        </w:rPr>
        <w:t xml:space="preserve">Procedure for staff and residents who decline or are unable to be tested. </w:t>
      </w:r>
      <w:r>
        <w:t>Indicate how this will be handled for your facility and reference any other applicable policies or documents (i.e. resident or employee handbook).</w:t>
      </w:r>
    </w:p>
    <w:p w14:paraId="6EDDDE12" w14:textId="7A07C154" w:rsidR="007C756F" w:rsidRDefault="007C756F" w:rsidP="00F8031E">
      <w:pPr>
        <w:pStyle w:val="ListParagraph"/>
        <w:numPr>
          <w:ilvl w:val="0"/>
          <w:numId w:val="5"/>
        </w:numPr>
      </w:pPr>
      <w:r>
        <w:rPr>
          <w:b/>
          <w:bCs/>
        </w:rPr>
        <w:t>Reporting/Tracking.</w:t>
      </w:r>
      <w:r>
        <w:t xml:space="preserve"> </w:t>
      </w:r>
      <w:r w:rsidR="00F26480">
        <w:t>Staff assigned to report test results to NSHN and MDH.</w:t>
      </w:r>
    </w:p>
    <w:p w14:paraId="7AA3E8B0" w14:textId="20D05CBE" w:rsidR="4E1C9522" w:rsidRDefault="4E1C9522" w:rsidP="4E1C9522">
      <w:pPr>
        <w:rPr>
          <w:b/>
          <w:bCs/>
          <w:u w:val="single"/>
        </w:rPr>
      </w:pPr>
    </w:p>
    <w:p w14:paraId="27BB6366" w14:textId="4DE2641F" w:rsidR="1E3C2705" w:rsidRDefault="1E3C2705" w:rsidP="4E1C9522">
      <w:pPr>
        <w:rPr>
          <w:b/>
          <w:bCs/>
          <w:u w:val="single"/>
        </w:rPr>
      </w:pPr>
      <w:r w:rsidRPr="4E1C9522">
        <w:rPr>
          <w:b/>
          <w:bCs/>
          <w:u w:val="single"/>
        </w:rPr>
        <w:t>Facility-wide testing</w:t>
      </w:r>
    </w:p>
    <w:p w14:paraId="524B6A09" w14:textId="01DAFCCD" w:rsidR="1E3C2705" w:rsidRDefault="1E3C2705" w:rsidP="00112D1E">
      <w:pPr>
        <w:pStyle w:val="ListParagraph"/>
        <w:numPr>
          <w:ilvl w:val="0"/>
          <w:numId w:val="6"/>
        </w:numPr>
      </w:pPr>
      <w:r w:rsidRPr="00112D1E">
        <w:rPr>
          <w:b/>
          <w:bCs/>
        </w:rPr>
        <w:t>Baseline testing</w:t>
      </w:r>
      <w:r>
        <w:t xml:space="preserve"> Capacity for each resident to receive a single baseline test, or if you have conducted a baseline testing of all residents what is the completion date </w:t>
      </w:r>
      <w:proofErr w:type="spellStart"/>
      <w:r w:rsidRPr="00112D1E">
        <w:rPr>
          <w:highlight w:val="yellow"/>
        </w:rPr>
        <w:t>xxxx</w:t>
      </w:r>
      <w:proofErr w:type="spellEnd"/>
      <w:r w:rsidRPr="00112D1E">
        <w:rPr>
          <w:highlight w:val="yellow"/>
        </w:rPr>
        <w:t>.</w:t>
      </w:r>
      <w:r>
        <w:t xml:space="preserve"> </w:t>
      </w:r>
    </w:p>
    <w:p w14:paraId="130CCC46" w14:textId="13223C71" w:rsidR="1E3C2705" w:rsidRDefault="1E3C2705" w:rsidP="00112D1E">
      <w:pPr>
        <w:pStyle w:val="ListParagraph"/>
        <w:numPr>
          <w:ilvl w:val="0"/>
          <w:numId w:val="6"/>
        </w:numPr>
      </w:pPr>
      <w:r w:rsidRPr="00112D1E">
        <w:rPr>
          <w:b/>
          <w:bCs/>
        </w:rPr>
        <w:t xml:space="preserve">Weekly Retesting (Point Prevalence Testing) </w:t>
      </w:r>
      <w:r>
        <w:t xml:space="preserve">repeat testing of all negative residents conducted weekly until all residents tested negative.  First cycle was completed on date </w:t>
      </w:r>
      <w:proofErr w:type="spellStart"/>
      <w:r w:rsidRPr="00112D1E">
        <w:rPr>
          <w:highlight w:val="yellow"/>
        </w:rPr>
        <w:t>xxxx</w:t>
      </w:r>
      <w:proofErr w:type="spellEnd"/>
      <w:r>
        <w:t xml:space="preserve"> (if applicable) (add in subsequent cycles if applicable)</w:t>
      </w:r>
    </w:p>
    <w:p w14:paraId="47CEB280" w14:textId="68CF8631" w:rsidR="1E3C2705" w:rsidRDefault="1E3C2705" w:rsidP="00112D1E">
      <w:pPr>
        <w:pStyle w:val="ListParagraph"/>
        <w:numPr>
          <w:ilvl w:val="0"/>
          <w:numId w:val="6"/>
        </w:numPr>
      </w:pPr>
      <w:r w:rsidRPr="00112D1E">
        <w:rPr>
          <w:b/>
          <w:bCs/>
        </w:rPr>
        <w:t xml:space="preserve">Staff testing.  </w:t>
      </w:r>
      <w:r>
        <w:t>The capacity for all staff (including volunteers and vendors who are in the facility on a weekly basis) to receive a single baseline COVID-19 test, with re-testing of all staff continuing every week until all staff tested negative</w:t>
      </w:r>
      <w:r w:rsidR="2B7A0EB8">
        <w:t>. Ongoing weekly testing as indicated by federal and state guidance.</w:t>
      </w:r>
    </w:p>
    <w:p w14:paraId="1F9D3C60" w14:textId="355BAC52" w:rsidR="1E3C2705" w:rsidRPr="00112D1E" w:rsidRDefault="1E3C2705" w:rsidP="00112D1E">
      <w:pPr>
        <w:pStyle w:val="ListParagraph"/>
        <w:numPr>
          <w:ilvl w:val="0"/>
          <w:numId w:val="6"/>
        </w:numPr>
        <w:rPr>
          <w:u w:val="single"/>
        </w:rPr>
      </w:pPr>
      <w:r w:rsidRPr="00112D1E">
        <w:rPr>
          <w:b/>
          <w:bCs/>
        </w:rPr>
        <w:t xml:space="preserve">Ongoing testing.  </w:t>
      </w:r>
      <w:r>
        <w:t>Plan for ongoing testing, even beyond a point-prevalence survey to include high risk residents and/or periodic surveillance of all staff and residents.</w:t>
      </w:r>
    </w:p>
    <w:p w14:paraId="35C44EE0" w14:textId="763EABAB" w:rsidR="6651AF7D" w:rsidRDefault="6651AF7D" w:rsidP="00112D1E">
      <w:pPr>
        <w:pStyle w:val="ListParagraph"/>
        <w:numPr>
          <w:ilvl w:val="0"/>
          <w:numId w:val="6"/>
        </w:numPr>
      </w:pPr>
      <w:r w:rsidRPr="00112D1E">
        <w:rPr>
          <w:b/>
          <w:bCs/>
        </w:rPr>
        <w:t xml:space="preserve">Routine testing for high-risk residents. </w:t>
      </w:r>
      <w:r>
        <w:t>Testing for high-risk residents such as newly admitted from hospital or other facility, roommates of known positive or symptomatic residents and residents who regularly leave the facility for dialysis or other essential medical services.</w:t>
      </w:r>
    </w:p>
    <w:p w14:paraId="69EFE2BA" w14:textId="0B6DBD38" w:rsidR="4E1C9522" w:rsidRDefault="4E1C9522" w:rsidP="4E1C9522">
      <w:pPr>
        <w:rPr>
          <w:b/>
          <w:bCs/>
          <w:u w:val="single"/>
        </w:rPr>
      </w:pPr>
    </w:p>
    <w:p w14:paraId="077A0C73" w14:textId="48ADB33A" w:rsidR="1E3C2705" w:rsidRDefault="1E3C2705" w:rsidP="4E1C9522">
      <w:pPr>
        <w:rPr>
          <w:b/>
          <w:bCs/>
          <w:u w:val="single"/>
        </w:rPr>
      </w:pPr>
      <w:r w:rsidRPr="4E1C9522">
        <w:rPr>
          <w:b/>
          <w:bCs/>
          <w:u w:val="single"/>
        </w:rPr>
        <w:t>Testing of Symptomatic staff and residents</w:t>
      </w:r>
    </w:p>
    <w:p w14:paraId="05A72B99" w14:textId="1D4C5419" w:rsidR="1E3C2705" w:rsidRDefault="1E3C2705" w:rsidP="0088233A">
      <w:pPr>
        <w:pStyle w:val="ListParagraph"/>
        <w:numPr>
          <w:ilvl w:val="0"/>
          <w:numId w:val="7"/>
        </w:numPr>
      </w:pPr>
      <w:r w:rsidRPr="0088233A">
        <w:rPr>
          <w:b/>
          <w:bCs/>
        </w:rPr>
        <w:t>Symptomatic testing.</w:t>
      </w:r>
      <w:r>
        <w:t xml:space="preserve"> All residents who exhibit symptoms consistent with COVID-19, or residents who come in contact with a staff member who tests positive for COVID-19 should be tested for COVID-19. All staff who are symptomatic should be tested for COVID-19. </w:t>
      </w:r>
    </w:p>
    <w:p w14:paraId="416075AA" w14:textId="2CDAA319" w:rsidR="4E1C9522" w:rsidRDefault="4E1C9522" w:rsidP="4E1C9522">
      <w:pPr>
        <w:rPr>
          <w:b/>
          <w:bCs/>
          <w:u w:val="single"/>
        </w:rPr>
      </w:pPr>
    </w:p>
    <w:p w14:paraId="6CA6AFBA" w14:textId="0A72F148" w:rsidR="37BC75AC" w:rsidRDefault="37BC75AC" w:rsidP="4E1C9522">
      <w:pPr>
        <w:rPr>
          <w:b/>
          <w:bCs/>
          <w:u w:val="single"/>
        </w:rPr>
      </w:pPr>
      <w:r w:rsidRPr="2C760732">
        <w:rPr>
          <w:b/>
          <w:bCs/>
          <w:u w:val="single"/>
        </w:rPr>
        <w:t>Specimen</w:t>
      </w:r>
      <w:r w:rsidR="7309AB8C" w:rsidRPr="2C760732">
        <w:rPr>
          <w:b/>
          <w:bCs/>
          <w:u w:val="single"/>
        </w:rPr>
        <w:t xml:space="preserve"> Considerations</w:t>
      </w:r>
    </w:p>
    <w:p w14:paraId="22132571" w14:textId="453868E8" w:rsidR="1E3C2705" w:rsidRPr="0088233A" w:rsidRDefault="1E3C2705" w:rsidP="0088233A">
      <w:pPr>
        <w:pStyle w:val="ListParagraph"/>
        <w:numPr>
          <w:ilvl w:val="0"/>
          <w:numId w:val="7"/>
        </w:numPr>
        <w:rPr>
          <w:u w:val="single"/>
        </w:rPr>
      </w:pPr>
      <w:r w:rsidRPr="0088233A">
        <w:rPr>
          <w:b/>
          <w:bCs/>
        </w:rPr>
        <w:t>Specimen Collection.</w:t>
      </w:r>
      <w:r>
        <w:t xml:space="preserve">  Method of collection</w:t>
      </w:r>
      <w:r w:rsidR="0088233A">
        <w:t>.  (At this point</w:t>
      </w:r>
      <w:r>
        <w:t xml:space="preserve"> MDH recommends usage of nasopharyngeal or anterior nasal swabs</w:t>
      </w:r>
      <w:r w:rsidR="0088233A">
        <w:t>—other options i.e. saliva</w:t>
      </w:r>
      <w:r w:rsidR="005577AD">
        <w:t xml:space="preserve"> will be acceptable</w:t>
      </w:r>
      <w:r>
        <w:t>. Procedure for collection, including PPE usage and cleaning considerations.</w:t>
      </w:r>
    </w:p>
    <w:p w14:paraId="47D0383A" w14:textId="7A20F6EA" w:rsidR="1E3C2705" w:rsidRPr="005577AD" w:rsidRDefault="1E3C2705" w:rsidP="005577AD">
      <w:pPr>
        <w:pStyle w:val="ListParagraph"/>
        <w:numPr>
          <w:ilvl w:val="0"/>
          <w:numId w:val="7"/>
        </w:numPr>
        <w:rPr>
          <w:b/>
          <w:bCs/>
          <w:u w:val="single"/>
        </w:rPr>
      </w:pPr>
      <w:r w:rsidRPr="005577AD">
        <w:rPr>
          <w:b/>
          <w:bCs/>
        </w:rPr>
        <w:t xml:space="preserve">Laboratory arrangement </w:t>
      </w:r>
      <w:r>
        <w:t>An arrangement with lab(s) to process tests. The test used should be able to detect SARS-CoV-2 virus (e.g., polymerase chain reaction (PCR)) with greater than 95% sensitivity, greater than 90% specificity, with results obtained rapidly</w:t>
      </w:r>
      <w:r w:rsidR="00AB481A">
        <w:t xml:space="preserve">. </w:t>
      </w:r>
      <w:r>
        <w:t>Antibody test results should not be used to diagnose someone with an active SARS-CoV-2 infection.</w:t>
      </w:r>
    </w:p>
    <w:p w14:paraId="1339D833" w14:textId="0B13188B" w:rsidR="4E1C9522" w:rsidRDefault="4E1C9522" w:rsidP="4E1C9522">
      <w:pPr>
        <w:rPr>
          <w:b/>
          <w:bCs/>
          <w:u w:val="single"/>
        </w:rPr>
      </w:pPr>
    </w:p>
    <w:p w14:paraId="0721C347" w14:textId="75EE0A14" w:rsidR="1E3C2705" w:rsidRDefault="1E3C2705" w:rsidP="4E1C9522">
      <w:pPr>
        <w:rPr>
          <w:b/>
          <w:bCs/>
          <w:u w:val="single"/>
        </w:rPr>
      </w:pPr>
      <w:r w:rsidRPr="2C760732">
        <w:rPr>
          <w:b/>
          <w:bCs/>
          <w:u w:val="single"/>
        </w:rPr>
        <w:t>Billing/Payment</w:t>
      </w:r>
      <w:r w:rsidR="1780BC3A" w:rsidRPr="2C760732">
        <w:rPr>
          <w:b/>
          <w:bCs/>
          <w:u w:val="single"/>
        </w:rPr>
        <w:t xml:space="preserve"> Considerations</w:t>
      </w:r>
    </w:p>
    <w:p w14:paraId="59AFA5C8" w14:textId="720F886B" w:rsidR="1E3C2705" w:rsidRDefault="1E3C2705" w:rsidP="00AB481A">
      <w:pPr>
        <w:pStyle w:val="ListParagraph"/>
        <w:numPr>
          <w:ilvl w:val="0"/>
          <w:numId w:val="8"/>
        </w:numPr>
      </w:pPr>
      <w:r w:rsidRPr="00AB481A">
        <w:rPr>
          <w:b/>
          <w:bCs/>
        </w:rPr>
        <w:t xml:space="preserve">Payment for testing.  </w:t>
      </w:r>
      <w:r>
        <w:t xml:space="preserve">Plan for how resident and staff testing costs will be managed (i.e. lab bills resident </w:t>
      </w:r>
      <w:r w:rsidR="00AB481A">
        <w:t>M</w:t>
      </w:r>
      <w:r>
        <w:t>edicare or insurance, 12A.10 reimbursement for facility costs, staff cost bill to insurance, or facility covers cost</w:t>
      </w:r>
      <w:r w:rsidR="365A5AA8">
        <w:t>—uses federal tranche</w:t>
      </w:r>
      <w:r>
        <w:t xml:space="preserve">, </w:t>
      </w:r>
      <w:r w:rsidR="00AB481A">
        <w:t xml:space="preserve">state MDH COVID grants, </w:t>
      </w:r>
      <w:proofErr w:type="spellStart"/>
      <w:r w:rsidR="00AB481A">
        <w:t>etc</w:t>
      </w:r>
      <w:proofErr w:type="spellEnd"/>
      <w:r>
        <w:t>)</w:t>
      </w:r>
    </w:p>
    <w:p w14:paraId="04F4B54F" w14:textId="5B1C35AE" w:rsidR="4E1C9522" w:rsidRDefault="4E1C9522" w:rsidP="4E1C9522">
      <w:pPr>
        <w:rPr>
          <w:b/>
          <w:bCs/>
          <w:u w:val="single"/>
        </w:rPr>
      </w:pPr>
    </w:p>
    <w:p w14:paraId="3DB2C47F" w14:textId="198DAE8D" w:rsidR="00C5013F" w:rsidRDefault="00636ADC" w:rsidP="00C5013F">
      <w:r>
        <w:t xml:space="preserve">CMS Reopening recommendations: </w:t>
      </w:r>
      <w:hyperlink r:id="rId10" w:history="1">
        <w:r w:rsidR="00C5013F">
          <w:rPr>
            <w:rStyle w:val="Hyperlink"/>
          </w:rPr>
          <w:t>https://www.cms.gov/files/document/qso-20-30-nh.pdf</w:t>
        </w:r>
      </w:hyperlink>
    </w:p>
    <w:p w14:paraId="5A8D3A5C" w14:textId="2DE81281" w:rsidR="00C5013F" w:rsidRDefault="006F17DC" w:rsidP="00525355">
      <w:pPr>
        <w:rPr>
          <w:rStyle w:val="Hyperlink"/>
        </w:rPr>
      </w:pPr>
      <w:r>
        <w:t xml:space="preserve">COVID testing recommendations for LTC </w:t>
      </w:r>
      <w:hyperlink r:id="rId11" w:history="1">
        <w:r w:rsidRPr="00201D56">
          <w:rPr>
            <w:rStyle w:val="Hyperlink"/>
          </w:rPr>
          <w:t>https://www.health.state.mn.us/diseases/coronavirus/hcp/ltctestrec.pdf</w:t>
        </w:r>
      </w:hyperlink>
    </w:p>
    <w:p w14:paraId="07351858" w14:textId="65385341" w:rsidR="003C6401" w:rsidRDefault="00DE2123" w:rsidP="00525355">
      <w:r>
        <w:t xml:space="preserve">COVID testing </w:t>
      </w:r>
      <w:r w:rsidR="006F17DC">
        <w:t xml:space="preserve">in LTC FAQ </w:t>
      </w:r>
      <w:hyperlink r:id="rId12" w:history="1">
        <w:r w:rsidR="006F17DC" w:rsidRPr="00201D56">
          <w:rPr>
            <w:rStyle w:val="Hyperlink"/>
          </w:rPr>
          <w:t>https://www.health.state.mn.us/diseases/coronavirus/hcp/ltctestfaq.pdf</w:t>
        </w:r>
      </w:hyperlink>
    </w:p>
    <w:p w14:paraId="1D921831" w14:textId="49B67320" w:rsidR="00DE2123" w:rsidRDefault="00DE2123" w:rsidP="00525355">
      <w:r>
        <w:t xml:space="preserve">PPS Roadmap: </w:t>
      </w:r>
      <w:hyperlink r:id="rId13" w:history="1">
        <w:r w:rsidRPr="00DE2123">
          <w:rPr>
            <w:color w:val="0000FF"/>
            <w:u w:val="single"/>
          </w:rPr>
          <w:t>https://www.health.state.mn.us/diseases/coronavirus/hcp/pps0roadmap.pdf</w:t>
        </w:r>
      </w:hyperlink>
    </w:p>
    <w:p w14:paraId="45851FF5" w14:textId="0A33D123" w:rsidR="00525355" w:rsidRDefault="00525355" w:rsidP="00525355">
      <w:pPr>
        <w:rPr>
          <w:b/>
          <w:bCs/>
          <w:u w:val="single"/>
        </w:rPr>
      </w:pPr>
    </w:p>
    <w:p w14:paraId="00EAEC28" w14:textId="77777777" w:rsidR="009F6A06" w:rsidRPr="00525355" w:rsidRDefault="009F6A06" w:rsidP="00525355">
      <w:pPr>
        <w:rPr>
          <w:b/>
          <w:bCs/>
          <w:u w:val="single"/>
        </w:rPr>
      </w:pPr>
    </w:p>
    <w:sectPr w:rsidR="009F6A06" w:rsidRPr="0052535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A7707" w14:textId="77777777" w:rsidR="003023D9" w:rsidRDefault="003023D9" w:rsidP="00524A08">
      <w:pPr>
        <w:spacing w:after="0" w:line="240" w:lineRule="auto"/>
      </w:pPr>
      <w:r>
        <w:separator/>
      </w:r>
    </w:p>
  </w:endnote>
  <w:endnote w:type="continuationSeparator" w:id="0">
    <w:p w14:paraId="5A27433E" w14:textId="77777777" w:rsidR="003023D9" w:rsidRDefault="003023D9" w:rsidP="0052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3D98E" w14:textId="77777777" w:rsidR="003023D9" w:rsidRDefault="003023D9" w:rsidP="00524A08">
      <w:pPr>
        <w:spacing w:after="0" w:line="240" w:lineRule="auto"/>
      </w:pPr>
      <w:r>
        <w:separator/>
      </w:r>
    </w:p>
  </w:footnote>
  <w:footnote w:type="continuationSeparator" w:id="0">
    <w:p w14:paraId="304AC48D" w14:textId="77777777" w:rsidR="003023D9" w:rsidRDefault="003023D9" w:rsidP="00524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E2AB2" w14:textId="729B4D34" w:rsidR="00524A08" w:rsidRDefault="008C5142" w:rsidP="008C5142">
    <w:pPr>
      <w:pStyle w:val="Header"/>
      <w:jc w:val="center"/>
    </w:pPr>
    <w:r>
      <w:rPr>
        <w:noProof/>
      </w:rPr>
      <w:drawing>
        <wp:inline distT="0" distB="0" distL="0" distR="0" wp14:anchorId="6B41FDE9" wp14:editId="5EDF136A">
          <wp:extent cx="1533525" cy="78013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612" cy="797477"/>
                  </a:xfrm>
                  <a:prstGeom prst="rect">
                    <a:avLst/>
                  </a:prstGeom>
                  <a:noFill/>
                  <a:ln>
                    <a:noFill/>
                  </a:ln>
                </pic:spPr>
              </pic:pic>
            </a:graphicData>
          </a:graphic>
        </wp:inline>
      </w:drawing>
    </w:r>
    <w:r w:rsidR="00524A08">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1AD12AED" wp14:editId="6568960B">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2720D" w14:textId="77777777" w:rsidR="00524A08" w:rsidRDefault="00524A08">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D12AED"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B82720D" w14:textId="77777777" w:rsidR="00524A08" w:rsidRDefault="00524A08">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12DBF"/>
    <w:multiLevelType w:val="hybridMultilevel"/>
    <w:tmpl w:val="76946FBE"/>
    <w:lvl w:ilvl="0" w:tplc="70DAE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CC5057"/>
    <w:multiLevelType w:val="hybridMultilevel"/>
    <w:tmpl w:val="ABF2D4AA"/>
    <w:lvl w:ilvl="0" w:tplc="70DAE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2B2431"/>
    <w:multiLevelType w:val="hybridMultilevel"/>
    <w:tmpl w:val="85B4C6B2"/>
    <w:lvl w:ilvl="0" w:tplc="E2B02E7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D00CD928">
      <w:start w:val="1"/>
      <w:numFmt w:val="none"/>
      <w:lvlText w:val="d."/>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4BF2354"/>
    <w:multiLevelType w:val="hybridMultilevel"/>
    <w:tmpl w:val="0B7E4880"/>
    <w:lvl w:ilvl="0" w:tplc="70DAE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A6FF1"/>
    <w:multiLevelType w:val="hybridMultilevel"/>
    <w:tmpl w:val="8C7E4D80"/>
    <w:lvl w:ilvl="0" w:tplc="70DAE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53883"/>
    <w:multiLevelType w:val="multilevel"/>
    <w:tmpl w:val="A2BA43AE"/>
    <w:lvl w:ilvl="0">
      <w:start w:val="1"/>
      <w:numFmt w:val="bullet"/>
      <w:pStyle w:val="List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Wingdings" w:hAnsi="Wingdings" w:hint="default"/>
        <w:color w:val="0281A2"/>
      </w:rPr>
    </w:lvl>
    <w:lvl w:ilvl="2">
      <w:start w:val="1"/>
      <w:numFmt w:val="bullet"/>
      <w:lvlText w:val=""/>
      <w:lvlJc w:val="left"/>
      <w:pPr>
        <w:tabs>
          <w:tab w:val="num" w:pos="1296"/>
        </w:tabs>
        <w:ind w:left="1296" w:hanging="432"/>
      </w:pPr>
      <w:rPr>
        <w:rFonts w:ascii="Wingdings" w:hAnsi="Wingdings" w:hint="default"/>
        <w:color w:val="0281A2"/>
      </w:rPr>
    </w:lvl>
    <w:lvl w:ilvl="3">
      <w:start w:val="1"/>
      <w:numFmt w:val="bullet"/>
      <w:lvlText w:val=""/>
      <w:lvlJc w:val="left"/>
      <w:pPr>
        <w:tabs>
          <w:tab w:val="num" w:pos="1728"/>
        </w:tabs>
        <w:ind w:left="1728" w:hanging="432"/>
      </w:pPr>
      <w:rPr>
        <w:rFonts w:ascii="Wingdings" w:hAnsi="Wingdings" w:hint="default"/>
        <w:color w:val="0281A2"/>
      </w:rPr>
    </w:lvl>
    <w:lvl w:ilvl="4">
      <w:start w:val="1"/>
      <w:numFmt w:val="bullet"/>
      <w:lvlText w:val="o"/>
      <w:lvlJc w:val="left"/>
      <w:pPr>
        <w:tabs>
          <w:tab w:val="num" w:pos="2160"/>
        </w:tabs>
        <w:ind w:left="2160" w:hanging="432"/>
      </w:pPr>
      <w:rPr>
        <w:rFonts w:ascii="Courier New" w:hAnsi="Courier New" w:cs="Times New Roman"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6" w15:restartNumberingAfterBreak="0">
    <w:nsid w:val="7AAE4838"/>
    <w:multiLevelType w:val="hybridMultilevel"/>
    <w:tmpl w:val="9292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3F"/>
    <w:rsid w:val="00084098"/>
    <w:rsid w:val="00112D1E"/>
    <w:rsid w:val="001405F8"/>
    <w:rsid w:val="001F3486"/>
    <w:rsid w:val="002003BC"/>
    <w:rsid w:val="0026731D"/>
    <w:rsid w:val="003023D9"/>
    <w:rsid w:val="003C6401"/>
    <w:rsid w:val="0044350E"/>
    <w:rsid w:val="0046018C"/>
    <w:rsid w:val="004D77E9"/>
    <w:rsid w:val="004E1172"/>
    <w:rsid w:val="00524A08"/>
    <w:rsid w:val="00525355"/>
    <w:rsid w:val="005577AD"/>
    <w:rsid w:val="005E00DF"/>
    <w:rsid w:val="00636ADC"/>
    <w:rsid w:val="00673C7C"/>
    <w:rsid w:val="006F17DC"/>
    <w:rsid w:val="00723268"/>
    <w:rsid w:val="00741062"/>
    <w:rsid w:val="007C756F"/>
    <w:rsid w:val="0088233A"/>
    <w:rsid w:val="008C5142"/>
    <w:rsid w:val="009F6A06"/>
    <w:rsid w:val="00AB481A"/>
    <w:rsid w:val="00C5013F"/>
    <w:rsid w:val="00C76629"/>
    <w:rsid w:val="00CB581E"/>
    <w:rsid w:val="00D636F8"/>
    <w:rsid w:val="00DE2123"/>
    <w:rsid w:val="00F26480"/>
    <w:rsid w:val="00F8031E"/>
    <w:rsid w:val="00FD0DDE"/>
    <w:rsid w:val="00FE4879"/>
    <w:rsid w:val="034D4130"/>
    <w:rsid w:val="0772C760"/>
    <w:rsid w:val="0BA61F16"/>
    <w:rsid w:val="0C83F48B"/>
    <w:rsid w:val="164CBA36"/>
    <w:rsid w:val="1780BC3A"/>
    <w:rsid w:val="1D0141F0"/>
    <w:rsid w:val="1E3C2705"/>
    <w:rsid w:val="1E85859E"/>
    <w:rsid w:val="24FA8A70"/>
    <w:rsid w:val="260108EC"/>
    <w:rsid w:val="2858C356"/>
    <w:rsid w:val="2B7A0EB8"/>
    <w:rsid w:val="2C760732"/>
    <w:rsid w:val="3059DE64"/>
    <w:rsid w:val="357BA43D"/>
    <w:rsid w:val="365A5AA8"/>
    <w:rsid w:val="37BC75AC"/>
    <w:rsid w:val="37E7E307"/>
    <w:rsid w:val="41B35071"/>
    <w:rsid w:val="488A528F"/>
    <w:rsid w:val="4E1C9522"/>
    <w:rsid w:val="50CC5CEA"/>
    <w:rsid w:val="50F018E4"/>
    <w:rsid w:val="53755F00"/>
    <w:rsid w:val="545FC335"/>
    <w:rsid w:val="54C1DD95"/>
    <w:rsid w:val="6651AF7D"/>
    <w:rsid w:val="7051ED3E"/>
    <w:rsid w:val="7242C1A9"/>
    <w:rsid w:val="7309AB8C"/>
    <w:rsid w:val="7CFAAEE1"/>
    <w:rsid w:val="7DAFCA20"/>
    <w:rsid w:val="7EAE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602C"/>
  <w15:chartTrackingRefBased/>
  <w15:docId w15:val="{37AD6CCC-6A52-475A-96CA-EA5B404C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13F"/>
    <w:pPr>
      <w:ind w:left="720"/>
      <w:contextualSpacing/>
    </w:pPr>
  </w:style>
  <w:style w:type="character" w:styleId="Hyperlink">
    <w:name w:val="Hyperlink"/>
    <w:basedOn w:val="DefaultParagraphFont"/>
    <w:uiPriority w:val="99"/>
    <w:unhideWhenUsed/>
    <w:rsid w:val="00C5013F"/>
    <w:rPr>
      <w:color w:val="0000FF"/>
      <w:u w:val="single"/>
    </w:rPr>
  </w:style>
  <w:style w:type="paragraph" w:styleId="ListBullet">
    <w:name w:val="List Bullet"/>
    <w:basedOn w:val="Normal"/>
    <w:uiPriority w:val="2"/>
    <w:semiHidden/>
    <w:unhideWhenUsed/>
    <w:qFormat/>
    <w:rsid w:val="009F6A06"/>
    <w:pPr>
      <w:numPr>
        <w:numId w:val="2"/>
      </w:numPr>
      <w:suppressAutoHyphens/>
      <w:spacing w:before="120" w:after="120" w:line="240" w:lineRule="auto"/>
      <w:contextualSpacing/>
    </w:pPr>
    <w:rPr>
      <w:rFonts w:ascii="Calibri" w:hAnsi="Calibri"/>
      <w:sz w:val="24"/>
    </w:rPr>
  </w:style>
  <w:style w:type="paragraph" w:styleId="Header">
    <w:name w:val="header"/>
    <w:basedOn w:val="Normal"/>
    <w:link w:val="HeaderChar"/>
    <w:uiPriority w:val="99"/>
    <w:unhideWhenUsed/>
    <w:rsid w:val="00524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A08"/>
  </w:style>
  <w:style w:type="paragraph" w:styleId="Footer">
    <w:name w:val="footer"/>
    <w:basedOn w:val="Normal"/>
    <w:link w:val="FooterChar"/>
    <w:uiPriority w:val="99"/>
    <w:unhideWhenUsed/>
    <w:rsid w:val="00524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A08"/>
  </w:style>
  <w:style w:type="character" w:styleId="UnresolvedMention">
    <w:name w:val="Unresolved Mention"/>
    <w:basedOn w:val="DefaultParagraphFont"/>
    <w:uiPriority w:val="99"/>
    <w:semiHidden/>
    <w:unhideWhenUsed/>
    <w:rsid w:val="006F17DC"/>
    <w:rPr>
      <w:color w:val="605E5C"/>
      <w:shd w:val="clear" w:color="auto" w:fill="E1DFDD"/>
    </w:rPr>
  </w:style>
  <w:style w:type="character" w:styleId="FollowedHyperlink">
    <w:name w:val="FollowedHyperlink"/>
    <w:basedOn w:val="DefaultParagraphFont"/>
    <w:uiPriority w:val="99"/>
    <w:semiHidden/>
    <w:unhideWhenUsed/>
    <w:rsid w:val="00636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28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state.mn.us/diseases/coronavirus/hcp/pps0roadmap.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state.mn.us/diseases/coronavirus/hcp/ltctestfaq.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state.mn.us/diseases/coronavirus/hcp/ltctestrec.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ms.gov/files/document/qso-20-30-nh.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D4D6EC54A2C342A8EDB8E3617A2A32" ma:contentTypeVersion="11" ma:contentTypeDescription="Create a new document." ma:contentTypeScope="" ma:versionID="80d1579780233c015347fe6df93e27f9">
  <xsd:schema xmlns:xsd="http://www.w3.org/2001/XMLSchema" xmlns:xs="http://www.w3.org/2001/XMLSchema" xmlns:p="http://schemas.microsoft.com/office/2006/metadata/properties" xmlns:ns2="aac8676a-f598-4fa5-bd74-062eff41aa03" xmlns:ns3="ed2b67e5-11bb-4b47-b61a-396de9ea4ad8" targetNamespace="http://schemas.microsoft.com/office/2006/metadata/properties" ma:root="true" ma:fieldsID="b4780283c03e900ce7c1be23a5c675d2" ns2:_="" ns3:_="">
    <xsd:import namespace="aac8676a-f598-4fa5-bd74-062eff41aa03"/>
    <xsd:import namespace="ed2b67e5-11bb-4b47-b61a-396de9ea4ad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8676a-f598-4fa5-bd74-062eff41aa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2b67e5-11bb-4b47-b61a-396de9ea4a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F857C3-2B2F-4ACD-A473-8558E2496F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FB4F79-FD8D-4A56-AC26-9C9D5C43C65F}">
  <ds:schemaRefs>
    <ds:schemaRef ds:uri="http://schemas.microsoft.com/sharepoint/v3/contenttype/forms"/>
  </ds:schemaRefs>
</ds:datastoreItem>
</file>

<file path=customXml/itemProps3.xml><?xml version="1.0" encoding="utf-8"?>
<ds:datastoreItem xmlns:ds="http://schemas.openxmlformats.org/officeDocument/2006/customXml" ds:itemID="{248969BD-414C-4764-8628-4EEC45FCB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8676a-f598-4fa5-bd74-062eff41aa03"/>
    <ds:schemaRef ds:uri="ed2b67e5-11bb-4b47-b61a-396de9ea4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Mattson</dc:creator>
  <cp:keywords/>
  <dc:description/>
  <cp:lastModifiedBy>Patti Cullen</cp:lastModifiedBy>
  <cp:revision>18</cp:revision>
  <dcterms:created xsi:type="dcterms:W3CDTF">2020-08-17T17:17:00Z</dcterms:created>
  <dcterms:modified xsi:type="dcterms:W3CDTF">2020-08-18T18:28:00Z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0x0101007AD4D6EC54A2C342A8EDB8E3617A2A32</vt:lpwstr>
  </property>
</Properties>
</file>