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41775" w14:textId="7ED4C3EF" w:rsidR="000C53A4" w:rsidRDefault="000C53A4" w:rsidP="00791BE5">
      <w:pPr>
        <w:jc w:val="center"/>
      </w:pPr>
      <w:r>
        <w:t>[</w:t>
      </w:r>
      <w:r w:rsidRPr="00B47A45">
        <w:rPr>
          <w:highlight w:val="cyan"/>
        </w:rPr>
        <w:t>Name of facility</w:t>
      </w:r>
      <w:r>
        <w:t>]</w:t>
      </w:r>
    </w:p>
    <w:p w14:paraId="040FBFD2" w14:textId="127274EB" w:rsidR="00791BE5" w:rsidRDefault="00791BE5" w:rsidP="00791BE5">
      <w:pPr>
        <w:jc w:val="center"/>
      </w:pPr>
      <w:r>
        <w:t>Policy on Essential Caregivers</w:t>
      </w:r>
    </w:p>
    <w:p w14:paraId="4BFC1B5C" w14:textId="3BD0B546" w:rsidR="00791BE5" w:rsidRDefault="00791BE5" w:rsidP="00791BE5">
      <w:pPr>
        <w:jc w:val="center"/>
      </w:pPr>
      <w:r>
        <w:t>DATE</w:t>
      </w:r>
    </w:p>
    <w:p w14:paraId="50C7253B" w14:textId="02EC2A5E" w:rsidR="00791BE5" w:rsidRDefault="00791BE5" w:rsidP="00791BE5">
      <w:pPr>
        <w:jc w:val="center"/>
      </w:pPr>
    </w:p>
    <w:p w14:paraId="39221B23" w14:textId="202357A2" w:rsidR="00791BE5" w:rsidRDefault="00791BE5" w:rsidP="00791BE5">
      <w:r>
        <w:t>Purpose:</w:t>
      </w:r>
    </w:p>
    <w:p w14:paraId="06E5927C" w14:textId="18A020C4" w:rsidR="00791BE5" w:rsidRDefault="23F8067C" w:rsidP="00791BE5">
      <w:r>
        <w:t>[</w:t>
      </w:r>
      <w:r w:rsidRPr="142F7E67">
        <w:rPr>
          <w:highlight w:val="cyan"/>
        </w:rPr>
        <w:t>Name of facility</w:t>
      </w:r>
      <w:r>
        <w:t>]</w:t>
      </w:r>
      <w:r w:rsidR="00791BE5">
        <w:t xml:space="preserve"> recognizes the importance of social distancing and physical separation to help keep residents safe from exposure to COVID-19. </w:t>
      </w:r>
      <w:r w:rsidR="39CD371D">
        <w:t>[</w:t>
      </w:r>
      <w:r w:rsidR="39CD371D" w:rsidRPr="142F7E67">
        <w:rPr>
          <w:highlight w:val="cyan"/>
        </w:rPr>
        <w:t>Name of facility</w:t>
      </w:r>
      <w:r w:rsidR="39CD371D">
        <w:t>]</w:t>
      </w:r>
      <w:r w:rsidR="00791BE5">
        <w:t xml:space="preserve"> also acknowledges the unintended consequences of prolonged social distancing and isolation on a resident’s overall health and well-being, particularly with residents who have had friends</w:t>
      </w:r>
      <w:r w:rsidR="000A7F07">
        <w:t>,</w:t>
      </w:r>
      <w:r w:rsidR="00791BE5">
        <w:t xml:space="preserve"> family</w:t>
      </w:r>
      <w:r w:rsidR="000A7F07">
        <w:t>, or caregivers</w:t>
      </w:r>
      <w:r w:rsidR="00791BE5">
        <w:t xml:space="preserve"> participate actively in their care prior to the pandemic. The following protocols will be utilized to address the desire for essential caregivers effective </w:t>
      </w:r>
      <w:r w:rsidR="001D1F4E" w:rsidRPr="142F7E67">
        <w:rPr>
          <w:highlight w:val="cyan"/>
        </w:rPr>
        <w:t>DATE</w:t>
      </w:r>
      <w:r w:rsidR="00791BE5">
        <w:t>.</w:t>
      </w:r>
    </w:p>
    <w:p w14:paraId="357F40EB" w14:textId="7924DC83" w:rsidR="142F7E67" w:rsidRDefault="142F7E67" w:rsidP="142F7E67"/>
    <w:p w14:paraId="01B0F84A" w14:textId="4751D14A" w:rsidR="00791BE5" w:rsidRDefault="00791BE5" w:rsidP="00791BE5">
      <w:pPr>
        <w:rPr>
          <w:b/>
          <w:bCs/>
          <w:u w:val="single"/>
        </w:rPr>
      </w:pPr>
      <w:r w:rsidRPr="000539BE">
        <w:rPr>
          <w:b/>
          <w:bCs/>
          <w:u w:val="single"/>
        </w:rPr>
        <w:t>Note:  if at any time there is a concern about community exposures to COVID-19, or exposures of staff, residents or families to COVID-19 within our facility, we will be suspending this policy until further notice.</w:t>
      </w:r>
    </w:p>
    <w:p w14:paraId="73719D2C" w14:textId="77777777" w:rsidR="00784DB5" w:rsidRPr="000539BE" w:rsidRDefault="00784DB5" w:rsidP="00791BE5">
      <w:pPr>
        <w:rPr>
          <w:b/>
          <w:bCs/>
          <w:u w:val="single"/>
        </w:rPr>
      </w:pPr>
    </w:p>
    <w:p w14:paraId="28D6EC8F" w14:textId="40B4EC08" w:rsidR="005057FD" w:rsidRPr="00784DB5" w:rsidRDefault="005057FD" w:rsidP="00791BE5">
      <w:pPr>
        <w:rPr>
          <w:b/>
          <w:bCs/>
          <w:u w:val="single"/>
        </w:rPr>
      </w:pPr>
      <w:r w:rsidRPr="00784DB5">
        <w:rPr>
          <w:b/>
          <w:bCs/>
          <w:u w:val="single"/>
        </w:rPr>
        <w:t>1. Essential Caregiver</w:t>
      </w:r>
      <w:r w:rsidR="0096473E" w:rsidRPr="00784DB5">
        <w:rPr>
          <w:b/>
          <w:bCs/>
          <w:u w:val="single"/>
        </w:rPr>
        <w:t xml:space="preserve"> (ECG)</w:t>
      </w:r>
      <w:r w:rsidR="00C460B6" w:rsidRPr="00784DB5">
        <w:rPr>
          <w:b/>
          <w:bCs/>
          <w:u w:val="single"/>
        </w:rPr>
        <w:t xml:space="preserve"> Eligibility</w:t>
      </w:r>
      <w:r w:rsidRPr="00784DB5">
        <w:rPr>
          <w:b/>
          <w:bCs/>
          <w:u w:val="single"/>
        </w:rPr>
        <w:t>:</w:t>
      </w:r>
    </w:p>
    <w:p w14:paraId="21C7C9A7" w14:textId="779A3CD9" w:rsidR="005057FD" w:rsidRDefault="005057FD" w:rsidP="00791BE5">
      <w:r>
        <w:t xml:space="preserve">Residents/Resident Representatives requesting </w:t>
      </w:r>
      <w:r w:rsidR="001D1F4E">
        <w:t xml:space="preserve">an essential caregiver need to meet these </w:t>
      </w:r>
      <w:r w:rsidR="00642FA6">
        <w:t>qualifications:</w:t>
      </w:r>
    </w:p>
    <w:p w14:paraId="73C6A54B" w14:textId="77777777" w:rsidR="002336CC" w:rsidRDefault="00642FA6" w:rsidP="009D79D3">
      <w:pPr>
        <w:ind w:left="720"/>
      </w:pPr>
      <w:r>
        <w:t>a.</w:t>
      </w:r>
      <w:r w:rsidR="00E55149">
        <w:t xml:space="preserve"> </w:t>
      </w:r>
    </w:p>
    <w:p w14:paraId="731D4425" w14:textId="6EAF7F17" w:rsidR="00642FA6" w:rsidRPr="0096473E" w:rsidRDefault="00E55149" w:rsidP="009D79D3">
      <w:pPr>
        <w:ind w:left="720"/>
        <w:rPr>
          <w:i/>
          <w:iCs/>
        </w:rPr>
      </w:pPr>
      <w:r w:rsidRPr="00A85BC6">
        <w:rPr>
          <w:i/>
          <w:iCs/>
        </w:rPr>
        <w:t>(</w:t>
      </w:r>
      <w:r w:rsidR="0096473E">
        <w:rPr>
          <w:i/>
          <w:iCs/>
        </w:rPr>
        <w:t>T</w:t>
      </w:r>
      <w:r w:rsidRPr="00A85BC6">
        <w:rPr>
          <w:i/>
          <w:iCs/>
        </w:rPr>
        <w:t xml:space="preserve">his is where you </w:t>
      </w:r>
      <w:r w:rsidR="0096473E">
        <w:rPr>
          <w:i/>
          <w:iCs/>
        </w:rPr>
        <w:t>identify</w:t>
      </w:r>
      <w:r w:rsidRPr="00A85BC6">
        <w:rPr>
          <w:i/>
          <w:iCs/>
        </w:rPr>
        <w:t xml:space="preserve"> your criteria for ECG such as </w:t>
      </w:r>
      <w:r w:rsidR="002C7E84">
        <w:rPr>
          <w:i/>
          <w:iCs/>
        </w:rPr>
        <w:t xml:space="preserve">the resident had </w:t>
      </w:r>
      <w:r w:rsidR="00CF6D9A">
        <w:rPr>
          <w:i/>
          <w:iCs/>
        </w:rPr>
        <w:t xml:space="preserve">an ECG in </w:t>
      </w:r>
      <w:r w:rsidR="00AA0748" w:rsidRPr="00A85BC6">
        <w:rPr>
          <w:i/>
          <w:iCs/>
        </w:rPr>
        <w:t xml:space="preserve">past </w:t>
      </w:r>
      <w:r w:rsidR="00E8654C" w:rsidRPr="00A85BC6">
        <w:rPr>
          <w:i/>
          <w:iCs/>
        </w:rPr>
        <w:t xml:space="preserve">caregiving </w:t>
      </w:r>
      <w:r w:rsidR="00145216" w:rsidRPr="00A85BC6">
        <w:rPr>
          <w:i/>
          <w:iCs/>
        </w:rPr>
        <w:t xml:space="preserve">roles </w:t>
      </w:r>
      <w:r w:rsidR="00E8654C" w:rsidRPr="00A85BC6">
        <w:rPr>
          <w:i/>
          <w:iCs/>
        </w:rPr>
        <w:t xml:space="preserve">or </w:t>
      </w:r>
      <w:r w:rsidR="00685A52">
        <w:rPr>
          <w:i/>
          <w:iCs/>
        </w:rPr>
        <w:t>use of ECG</w:t>
      </w:r>
      <w:r w:rsidR="001440A5" w:rsidRPr="00A85BC6">
        <w:rPr>
          <w:i/>
          <w:iCs/>
        </w:rPr>
        <w:t xml:space="preserve"> is identified </w:t>
      </w:r>
      <w:r w:rsidR="00145216" w:rsidRPr="00A85BC6">
        <w:rPr>
          <w:i/>
          <w:iCs/>
        </w:rPr>
        <w:t xml:space="preserve">in resident plan of care </w:t>
      </w:r>
      <w:r w:rsidR="00685A52">
        <w:rPr>
          <w:i/>
          <w:iCs/>
        </w:rPr>
        <w:t>or</w:t>
      </w:r>
      <w:r w:rsidR="00716844">
        <w:t xml:space="preserve"> </w:t>
      </w:r>
      <w:r w:rsidR="0096473E" w:rsidRPr="0096473E">
        <w:rPr>
          <w:i/>
          <w:iCs/>
        </w:rPr>
        <w:t>resident</w:t>
      </w:r>
      <w:r w:rsidR="00685A52">
        <w:rPr>
          <w:i/>
          <w:iCs/>
        </w:rPr>
        <w:t xml:space="preserve"> has an identified</w:t>
      </w:r>
      <w:r w:rsidR="0096473E" w:rsidRPr="0096473E">
        <w:rPr>
          <w:i/>
          <w:iCs/>
        </w:rPr>
        <w:t xml:space="preserve"> need for a</w:t>
      </w:r>
      <w:r w:rsidR="0096473E">
        <w:rPr>
          <w:i/>
          <w:iCs/>
        </w:rPr>
        <w:t>n</w:t>
      </w:r>
      <w:r w:rsidR="0096473E" w:rsidRPr="0096473E">
        <w:rPr>
          <w:i/>
          <w:iCs/>
        </w:rPr>
        <w:t xml:space="preserve"> ECG</w:t>
      </w:r>
      <w:r w:rsidR="0096473E">
        <w:rPr>
          <w:i/>
          <w:iCs/>
        </w:rPr>
        <w:t xml:space="preserve"> due to failure to thrive or exacerbated signs of depression.)</w:t>
      </w:r>
    </w:p>
    <w:p w14:paraId="62001CAB" w14:textId="21CC6E6F" w:rsidR="00642FA6" w:rsidRDefault="70330577" w:rsidP="009D79D3">
      <w:pPr>
        <w:ind w:left="720"/>
      </w:pPr>
      <w:r>
        <w:t>b.</w:t>
      </w:r>
    </w:p>
    <w:p w14:paraId="31297BA3" w14:textId="0A47E9D3" w:rsidR="74ED78A8" w:rsidRDefault="74ED78A8" w:rsidP="74ED78A8">
      <w:pPr>
        <w:ind w:left="720"/>
      </w:pPr>
    </w:p>
    <w:p w14:paraId="3AB55AF0" w14:textId="61CB4E93" w:rsidR="00642FA6" w:rsidRPr="00784DB5" w:rsidRDefault="00642FA6" w:rsidP="00791BE5">
      <w:pPr>
        <w:rPr>
          <w:b/>
          <w:bCs/>
          <w:u w:val="single"/>
        </w:rPr>
      </w:pPr>
      <w:r w:rsidRPr="00784DB5">
        <w:rPr>
          <w:b/>
          <w:bCs/>
          <w:u w:val="single"/>
        </w:rPr>
        <w:t xml:space="preserve">2. Requesting </w:t>
      </w:r>
      <w:r w:rsidR="00AD3FAC" w:rsidRPr="00784DB5">
        <w:rPr>
          <w:b/>
          <w:bCs/>
          <w:u w:val="single"/>
        </w:rPr>
        <w:t>Essential Caregivers</w:t>
      </w:r>
    </w:p>
    <w:p w14:paraId="4F923AEA" w14:textId="15856C95" w:rsidR="00AD3FAC" w:rsidRDefault="00AD3FAC" w:rsidP="00791BE5">
      <w:r>
        <w:t xml:space="preserve">Qualifying residents/resident representatives can request an essential caregiver </w:t>
      </w:r>
      <w:r w:rsidR="00FF4883">
        <w:t>using the following process:</w:t>
      </w:r>
    </w:p>
    <w:p w14:paraId="3AA3415C" w14:textId="31D8A052" w:rsidR="00FF4883" w:rsidRDefault="00FF4883" w:rsidP="009D79D3">
      <w:pPr>
        <w:ind w:left="720"/>
      </w:pPr>
      <w:r>
        <w:t xml:space="preserve">a. </w:t>
      </w:r>
    </w:p>
    <w:p w14:paraId="517987DA" w14:textId="450C6A4C" w:rsidR="007C0D03" w:rsidRDefault="3FB6B2D9" w:rsidP="009D79D3">
      <w:pPr>
        <w:ind w:left="720"/>
        <w:rPr>
          <w:i/>
          <w:iCs/>
        </w:rPr>
      </w:pPr>
      <w:r w:rsidRPr="74ED78A8">
        <w:rPr>
          <w:i/>
          <w:iCs/>
        </w:rPr>
        <w:t xml:space="preserve">(This is where you </w:t>
      </w:r>
      <w:r w:rsidR="4F574891" w:rsidRPr="74ED78A8">
        <w:rPr>
          <w:i/>
          <w:iCs/>
        </w:rPr>
        <w:t>identify the staff member</w:t>
      </w:r>
      <w:r w:rsidR="3D3C9FD2" w:rsidRPr="74ED78A8">
        <w:rPr>
          <w:i/>
          <w:iCs/>
        </w:rPr>
        <w:t xml:space="preserve"> point of contact for requesting</w:t>
      </w:r>
      <w:r w:rsidR="3039EC9C" w:rsidRPr="74ED78A8">
        <w:rPr>
          <w:i/>
          <w:iCs/>
        </w:rPr>
        <w:t xml:space="preserve"> ECG</w:t>
      </w:r>
      <w:r w:rsidR="695B5BF3" w:rsidRPr="74ED78A8">
        <w:rPr>
          <w:i/>
          <w:iCs/>
        </w:rPr>
        <w:t xml:space="preserve">, </w:t>
      </w:r>
      <w:r w:rsidR="00A99544" w:rsidRPr="74ED78A8">
        <w:rPr>
          <w:i/>
          <w:iCs/>
        </w:rPr>
        <w:t>how to contact the staff member, how the staff member will process the request</w:t>
      </w:r>
      <w:r w:rsidR="11841C3D" w:rsidRPr="74ED78A8">
        <w:rPr>
          <w:i/>
          <w:iCs/>
        </w:rPr>
        <w:t xml:space="preserve">, length of time before request </w:t>
      </w:r>
      <w:r w:rsidR="2CBBBB0C" w:rsidRPr="74ED78A8">
        <w:rPr>
          <w:i/>
          <w:iCs/>
        </w:rPr>
        <w:t>will</w:t>
      </w:r>
      <w:r w:rsidR="11841C3D" w:rsidRPr="74ED78A8">
        <w:rPr>
          <w:i/>
          <w:iCs/>
        </w:rPr>
        <w:t xml:space="preserve"> be considered/granted.)</w:t>
      </w:r>
    </w:p>
    <w:p w14:paraId="5E8B480C" w14:textId="0804D1B6" w:rsidR="00FF4883" w:rsidRDefault="2DF3498D" w:rsidP="009D79D3">
      <w:pPr>
        <w:ind w:left="720"/>
      </w:pPr>
      <w:r>
        <w:t>b.</w:t>
      </w:r>
    </w:p>
    <w:p w14:paraId="363C1CDA" w14:textId="0BE95982" w:rsidR="74ED78A8" w:rsidRDefault="74ED78A8" w:rsidP="74ED78A8">
      <w:pPr>
        <w:ind w:left="720"/>
      </w:pPr>
    </w:p>
    <w:p w14:paraId="6CE65B23" w14:textId="3ED11364" w:rsidR="00A83641" w:rsidRPr="00784DB5" w:rsidRDefault="00705622" w:rsidP="00A83641">
      <w:pPr>
        <w:rPr>
          <w:b/>
          <w:bCs/>
          <w:u w:val="single"/>
        </w:rPr>
      </w:pPr>
      <w:r w:rsidRPr="00784DB5">
        <w:rPr>
          <w:b/>
          <w:bCs/>
          <w:u w:val="single"/>
        </w:rPr>
        <w:t xml:space="preserve">3. </w:t>
      </w:r>
      <w:r w:rsidR="00EB59DE" w:rsidRPr="00784DB5">
        <w:rPr>
          <w:b/>
          <w:bCs/>
          <w:u w:val="single"/>
        </w:rPr>
        <w:t>Personal Protective Equipment (PPE)</w:t>
      </w:r>
    </w:p>
    <w:p w14:paraId="79221687" w14:textId="576EF33B" w:rsidR="006955AC" w:rsidRDefault="68C4DFC7" w:rsidP="74ED78A8">
      <w:pPr>
        <w:ind w:left="720"/>
      </w:pPr>
      <w:r>
        <w:t xml:space="preserve">a. </w:t>
      </w:r>
      <w:r w:rsidR="3BD07463">
        <w:t xml:space="preserve">ECGs must wear the same level of PPE for the resident visit that staff are required to wear. </w:t>
      </w:r>
      <w:r w:rsidR="77F9AD56">
        <w:t>(MDH PPE grid can be found</w:t>
      </w:r>
      <w:r w:rsidR="10B772A7">
        <w:t xml:space="preserve"> </w:t>
      </w:r>
      <w:r w:rsidR="77F9AD56">
        <w:t xml:space="preserve">here: </w:t>
      </w:r>
    </w:p>
    <w:p w14:paraId="696FADF4" w14:textId="576EF33B" w:rsidR="006955AC" w:rsidRDefault="007A5C1F" w:rsidP="74ED78A8">
      <w:pPr>
        <w:ind w:left="720"/>
      </w:pPr>
      <w:hyperlink r:id="rId8">
        <w:r w:rsidR="3B34F6B2" w:rsidRPr="4C7944D1">
          <w:rPr>
            <w:rStyle w:val="Hyperlink"/>
          </w:rPr>
          <w:t>https://www.careproviders.org/members/2020/COVID_ppegrid.pdf</w:t>
        </w:r>
      </w:hyperlink>
      <w:r w:rsidR="3B34F6B2">
        <w:t xml:space="preserve">) </w:t>
      </w:r>
      <w:r w:rsidR="3BD07463">
        <w:t xml:space="preserve">At minimum, this includes a face mask and protective eyewear (eyewear must cover the </w:t>
      </w:r>
      <w:r w:rsidR="5C481865">
        <w:t xml:space="preserve">front and </w:t>
      </w:r>
      <w:r w:rsidR="3BD07463">
        <w:t xml:space="preserve">sides </w:t>
      </w:r>
      <w:r w:rsidR="5C481865">
        <w:t>of the eye area)</w:t>
      </w:r>
      <w:r w:rsidR="5F2B2C5D">
        <w:t>.</w:t>
      </w:r>
      <w:r w:rsidR="624B1DD6">
        <w:t xml:space="preserve"> PPE shall also be worn in the hallways/corridors. </w:t>
      </w:r>
      <w:r w:rsidR="1E5C8615">
        <w:t xml:space="preserve"> </w:t>
      </w:r>
    </w:p>
    <w:p w14:paraId="6FDDEF65" w14:textId="34FE8588" w:rsidR="00F15EF7" w:rsidRPr="00F15EF7" w:rsidRDefault="006955AC" w:rsidP="006955AC">
      <w:pPr>
        <w:ind w:firstLine="720"/>
      </w:pPr>
      <w:r>
        <w:t xml:space="preserve">b. </w:t>
      </w:r>
      <w:r w:rsidR="00C52A84">
        <w:t xml:space="preserve">The facility </w:t>
      </w:r>
      <w:r w:rsidR="00C52A84" w:rsidRPr="00A24512">
        <w:rPr>
          <w:highlight w:val="cyan"/>
        </w:rPr>
        <w:t>will</w:t>
      </w:r>
      <w:r w:rsidR="00A24512" w:rsidRPr="00A24512">
        <w:rPr>
          <w:highlight w:val="cyan"/>
        </w:rPr>
        <w:t xml:space="preserve"> / will not</w:t>
      </w:r>
      <w:r w:rsidR="00A24512">
        <w:t xml:space="preserve"> pro</w:t>
      </w:r>
      <w:r>
        <w:t>vide PPE to ECGs.</w:t>
      </w:r>
    </w:p>
    <w:p w14:paraId="20B363F0" w14:textId="419499BD" w:rsidR="00BE456E" w:rsidRPr="00BE456E" w:rsidRDefault="006955AC" w:rsidP="00BE456E">
      <w:pPr>
        <w:ind w:firstLine="720"/>
      </w:pPr>
      <w:r>
        <w:t xml:space="preserve">c. </w:t>
      </w:r>
      <w:r w:rsidR="00250BBD">
        <w:t xml:space="preserve"> </w:t>
      </w:r>
      <w:r w:rsidR="00534D6F">
        <w:t>Staff will train ECGs on the proper method of donning and doffing required PPE.</w:t>
      </w:r>
    </w:p>
    <w:p w14:paraId="41077E9A" w14:textId="3326174B" w:rsidR="00B55FB1" w:rsidRDefault="00B55FB1" w:rsidP="006955AC">
      <w:pPr>
        <w:ind w:firstLine="720"/>
      </w:pPr>
      <w:r>
        <w:t xml:space="preserve">d. ECGs failing to properly utilize PPE will not be eligible for future visits. </w:t>
      </w:r>
    </w:p>
    <w:p w14:paraId="7F671CA2" w14:textId="77777777" w:rsidR="00784DB5" w:rsidRPr="00C52A84" w:rsidRDefault="00784DB5" w:rsidP="006955AC">
      <w:pPr>
        <w:ind w:firstLine="720"/>
      </w:pPr>
    </w:p>
    <w:p w14:paraId="3BEDEEE9" w14:textId="16F7DFE2" w:rsidR="00FF4883" w:rsidRPr="00784DB5" w:rsidRDefault="00600618" w:rsidP="00791BE5">
      <w:pPr>
        <w:rPr>
          <w:b/>
          <w:bCs/>
          <w:u w:val="single"/>
        </w:rPr>
      </w:pPr>
      <w:r w:rsidRPr="00784DB5">
        <w:rPr>
          <w:b/>
          <w:bCs/>
          <w:u w:val="single"/>
        </w:rPr>
        <w:t>4</w:t>
      </w:r>
      <w:r w:rsidR="00570412" w:rsidRPr="00784DB5">
        <w:rPr>
          <w:b/>
          <w:bCs/>
          <w:u w:val="single"/>
        </w:rPr>
        <w:t xml:space="preserve">. Facility </w:t>
      </w:r>
      <w:r w:rsidR="00C460B6" w:rsidRPr="00784DB5">
        <w:rPr>
          <w:b/>
          <w:bCs/>
          <w:u w:val="single"/>
        </w:rPr>
        <w:t xml:space="preserve">Essential Caregiver </w:t>
      </w:r>
      <w:r w:rsidR="00570412" w:rsidRPr="00784DB5">
        <w:rPr>
          <w:b/>
          <w:bCs/>
          <w:u w:val="single"/>
        </w:rPr>
        <w:t>Screening/Check in Process</w:t>
      </w:r>
    </w:p>
    <w:p w14:paraId="2C5BCC6C" w14:textId="62DE165B" w:rsidR="00570412" w:rsidRDefault="00570412" w:rsidP="00665DF7">
      <w:pPr>
        <w:ind w:left="720"/>
      </w:pPr>
      <w:r>
        <w:t>a. Essential Caregivers</w:t>
      </w:r>
      <w:r w:rsidR="00665DF7">
        <w:t xml:space="preserve"> (ECG)</w:t>
      </w:r>
      <w:r>
        <w:t xml:space="preserve"> must </w:t>
      </w:r>
      <w:r w:rsidR="00D97D37">
        <w:t xml:space="preserve">go through our essential caregiver orientation training, which includes </w:t>
      </w:r>
      <w:r w:rsidR="002563A6">
        <w:t xml:space="preserve">review of </w:t>
      </w:r>
      <w:r w:rsidR="00D97D37">
        <w:t xml:space="preserve">proper infection control, screening, </w:t>
      </w:r>
      <w:r w:rsidR="002563A6">
        <w:t xml:space="preserve">use of personal protective equipment, visitation terms, </w:t>
      </w:r>
      <w:r w:rsidR="00665DF7">
        <w:t>and triggers for pausing ECG visits</w:t>
      </w:r>
      <w:r w:rsidR="003E48F4">
        <w:t>,</w:t>
      </w:r>
      <w:r w:rsidR="00665DF7">
        <w:t xml:space="preserve"> prior to their first visit.</w:t>
      </w:r>
    </w:p>
    <w:p w14:paraId="7D0C97AB" w14:textId="6FA72569" w:rsidR="003E48F4" w:rsidRDefault="003E48F4" w:rsidP="00665DF7">
      <w:pPr>
        <w:ind w:left="720"/>
      </w:pPr>
      <w:r>
        <w:t xml:space="preserve">b. All ECG must enter the building through </w:t>
      </w:r>
      <w:r w:rsidRPr="008F2097">
        <w:rPr>
          <w:highlight w:val="cyan"/>
        </w:rPr>
        <w:t>XXX</w:t>
      </w:r>
      <w:r>
        <w:t xml:space="preserve"> door, and immediately check in </w:t>
      </w:r>
      <w:r w:rsidRPr="008F2097">
        <w:rPr>
          <w:highlight w:val="cyan"/>
        </w:rPr>
        <w:t>XXX</w:t>
      </w:r>
      <w:r>
        <w:t xml:space="preserve"> for </w:t>
      </w:r>
      <w:r w:rsidR="009D79D3">
        <w:t>their screening prior to each visit.</w:t>
      </w:r>
    </w:p>
    <w:p w14:paraId="7A53119F" w14:textId="30BADB45" w:rsidR="00D84F2C" w:rsidRPr="00D84F2C" w:rsidRDefault="009D79D3" w:rsidP="00D84F2C">
      <w:pPr>
        <w:ind w:left="720"/>
      </w:pPr>
      <w:r>
        <w:t>c.</w:t>
      </w:r>
      <w:r w:rsidR="00740B97">
        <w:t xml:space="preserve"> All ECGs</w:t>
      </w:r>
      <w:r w:rsidR="00D46DAC">
        <w:t xml:space="preserve"> must perform hand hygiene </w:t>
      </w:r>
      <w:r w:rsidR="00033050">
        <w:t xml:space="preserve">at </w:t>
      </w:r>
      <w:r w:rsidR="00033050" w:rsidRPr="00F11DE4">
        <w:rPr>
          <w:highlight w:val="cyan"/>
        </w:rPr>
        <w:t>XXX</w:t>
      </w:r>
      <w:r w:rsidR="00033050">
        <w:t xml:space="preserve"> before proceeding to visitation.</w:t>
      </w:r>
    </w:p>
    <w:p w14:paraId="7869EAE6" w14:textId="5202144B" w:rsidR="003A005E" w:rsidRPr="003A005E" w:rsidRDefault="009E146F" w:rsidP="003A005E">
      <w:pPr>
        <w:ind w:left="720"/>
      </w:pPr>
      <w:r>
        <w:t>d. All ECGs</w:t>
      </w:r>
      <w:r w:rsidR="00E039E3">
        <w:t xml:space="preserve"> will be screened by staff for temperature and other signs and symptoms of COVID-19.</w:t>
      </w:r>
    </w:p>
    <w:p w14:paraId="64743276" w14:textId="65BB9BCE" w:rsidR="00DB03AB" w:rsidRDefault="00DB03AB" w:rsidP="00665DF7">
      <w:pPr>
        <w:ind w:left="720"/>
      </w:pPr>
      <w:r>
        <w:t xml:space="preserve">e. </w:t>
      </w:r>
      <w:r w:rsidR="000F7732">
        <w:t xml:space="preserve">At each visit, </w:t>
      </w:r>
      <w:r>
        <w:t>ECG</w:t>
      </w:r>
      <w:r w:rsidR="000F7732">
        <w:t>s</w:t>
      </w:r>
      <w:r>
        <w:t xml:space="preserve"> will sign and date a visit form indicating their understanding of </w:t>
      </w:r>
      <w:r w:rsidR="001D2923">
        <w:t>the ECG requirements</w:t>
      </w:r>
      <w:r w:rsidR="00694640">
        <w:t xml:space="preserve"> and rules</w:t>
      </w:r>
      <w:r w:rsidR="00635902">
        <w:t>.</w:t>
      </w:r>
    </w:p>
    <w:p w14:paraId="133B2771" w14:textId="5F64E43A" w:rsidR="00C460B6" w:rsidRDefault="00C460B6" w:rsidP="00665DF7">
      <w:pPr>
        <w:ind w:left="720"/>
      </w:pPr>
    </w:p>
    <w:p w14:paraId="3C947E88" w14:textId="4FDA2C28" w:rsidR="00C460B6" w:rsidRPr="00784DB5" w:rsidRDefault="00600618" w:rsidP="00C460B6">
      <w:pPr>
        <w:rPr>
          <w:b/>
          <w:bCs/>
          <w:u w:val="single"/>
        </w:rPr>
      </w:pPr>
      <w:r w:rsidRPr="00784DB5">
        <w:rPr>
          <w:b/>
          <w:bCs/>
          <w:u w:val="single"/>
        </w:rPr>
        <w:t>5</w:t>
      </w:r>
      <w:r w:rsidR="00C460B6" w:rsidRPr="00784DB5">
        <w:rPr>
          <w:b/>
          <w:bCs/>
          <w:u w:val="single"/>
        </w:rPr>
        <w:t>. Essential Caregiver Visits</w:t>
      </w:r>
    </w:p>
    <w:p w14:paraId="49D0B7C3" w14:textId="77777777" w:rsidR="008C4A2E" w:rsidRDefault="00C460B6" w:rsidP="00C460B6">
      <w:r>
        <w:rPr>
          <w:b/>
          <w:bCs/>
        </w:rPr>
        <w:tab/>
      </w:r>
      <w:r w:rsidR="00600618" w:rsidRPr="00600618">
        <w:t>a.</w:t>
      </w:r>
      <w:r w:rsidR="00600618">
        <w:rPr>
          <w:b/>
          <w:bCs/>
        </w:rPr>
        <w:t xml:space="preserve"> </w:t>
      </w:r>
      <w:r w:rsidR="00D711B8">
        <w:t>All visits by ECGs must be scheduled. “Walk-ins” will not be permitted.</w:t>
      </w:r>
    </w:p>
    <w:p w14:paraId="2C60C664" w14:textId="09F820D4" w:rsidR="008B7967" w:rsidRDefault="31A39EF7" w:rsidP="142F7E67">
      <w:pPr>
        <w:ind w:left="720"/>
        <w:rPr>
          <w:i/>
          <w:iCs/>
        </w:rPr>
      </w:pPr>
      <w:r>
        <w:t xml:space="preserve">b. </w:t>
      </w:r>
      <w:r w:rsidR="0E749E84">
        <w:t xml:space="preserve">Scheduling visits:  </w:t>
      </w:r>
      <w:r w:rsidR="1CEC92CE">
        <w:t>The following system will be utilized for ECGs to schedule visits:</w:t>
      </w:r>
      <w:r w:rsidR="02D1B49D">
        <w:t xml:space="preserve"> </w:t>
      </w:r>
      <w:r w:rsidR="00937727">
        <w:tab/>
      </w:r>
      <w:r w:rsidR="02D1B49D" w:rsidRPr="00975833">
        <w:rPr>
          <w:highlight w:val="cyan"/>
        </w:rPr>
        <w:t>XXX</w:t>
      </w:r>
      <w:r w:rsidR="49ABBA73">
        <w:t xml:space="preserve"> </w:t>
      </w:r>
      <w:r w:rsidR="0BB707D2" w:rsidRPr="142F7E67">
        <w:rPr>
          <w:i/>
          <w:iCs/>
        </w:rPr>
        <w:t>(This is where you identify the scheduling process for your visits)</w:t>
      </w:r>
    </w:p>
    <w:p w14:paraId="4A924A0F" w14:textId="08332501" w:rsidR="00C460B6" w:rsidRDefault="0C72B051" w:rsidP="00436FE0">
      <w:pPr>
        <w:ind w:left="720"/>
      </w:pPr>
      <w:r>
        <w:t xml:space="preserve">b. </w:t>
      </w:r>
      <w:r w:rsidR="52CA446D">
        <w:t xml:space="preserve">After screening, </w:t>
      </w:r>
      <w:r w:rsidR="0D63F3E8">
        <w:t>ECGs</w:t>
      </w:r>
      <w:r w:rsidR="54CDEE01">
        <w:t xml:space="preserve"> must </w:t>
      </w:r>
      <w:r w:rsidR="4E317EB6">
        <w:t xml:space="preserve">wear the appropriate PPE and </w:t>
      </w:r>
      <w:r w:rsidR="54CDEE01">
        <w:t xml:space="preserve">go directly to </w:t>
      </w:r>
      <w:r w:rsidR="52CA446D" w:rsidRPr="74ED78A8">
        <w:rPr>
          <w:highlight w:val="cyan"/>
        </w:rPr>
        <w:t>XXXX</w:t>
      </w:r>
      <w:r w:rsidR="52CA446D">
        <w:t xml:space="preserve"> (either resident room or other designated area)</w:t>
      </w:r>
      <w:r>
        <w:t>.  Visits can only be between the</w:t>
      </w:r>
      <w:r w:rsidR="778C456A">
        <w:t xml:space="preserve"> resident requesting the ECG and the ECG, and not include other residents </w:t>
      </w:r>
      <w:r w:rsidR="58F93439">
        <w:t xml:space="preserve">or staff </w:t>
      </w:r>
      <w:r w:rsidR="778C456A">
        <w:t>in the facility.</w:t>
      </w:r>
    </w:p>
    <w:p w14:paraId="1E9D1939" w14:textId="6847D05C" w:rsidR="00FB7526" w:rsidRPr="00FB7526" w:rsidRDefault="008B7967" w:rsidP="00FB7526">
      <w:r>
        <w:tab/>
      </w:r>
      <w:r w:rsidR="0C72B051">
        <w:t>c</w:t>
      </w:r>
      <w:r w:rsidR="4E317EB6">
        <w:t xml:space="preserve">. </w:t>
      </w:r>
      <w:r w:rsidR="2B20FB60">
        <w:t xml:space="preserve">Visits shall be limited to no more than: </w:t>
      </w:r>
      <w:r w:rsidR="2B20FB60" w:rsidRPr="00491F1A">
        <w:rPr>
          <w:highlight w:val="cyan"/>
        </w:rPr>
        <w:t>XXXX(time)</w:t>
      </w:r>
      <w:r w:rsidR="778C456A">
        <w:t xml:space="preserve"> </w:t>
      </w:r>
      <w:r w:rsidR="03F196CC">
        <w:t>in duration.</w:t>
      </w:r>
    </w:p>
    <w:p w14:paraId="785F277D" w14:textId="66747415" w:rsidR="00145216" w:rsidRPr="00145216" w:rsidRDefault="3C2A8444" w:rsidP="142F7E67">
      <w:pPr>
        <w:ind w:left="720"/>
      </w:pPr>
      <w:r w:rsidRPr="142F7E67">
        <w:t>d. No more than one ECG can visit a resident at a time, but a resident can</w:t>
      </w:r>
      <w:r w:rsidR="26E74287" w:rsidRPr="142F7E67">
        <w:t xml:space="preserve"> have more than </w:t>
      </w:r>
      <w:r w:rsidR="00545CF8">
        <w:tab/>
      </w:r>
      <w:r w:rsidR="26E74287" w:rsidRPr="142F7E67">
        <w:t xml:space="preserve">one ECG scheduled visit in a day </w:t>
      </w:r>
      <w:r w:rsidR="60CA56C2" w:rsidRPr="142F7E67">
        <w:t>(maximum 3 hours per day of visits)</w:t>
      </w:r>
    </w:p>
    <w:p w14:paraId="3A52DD1C" w14:textId="5D735F13" w:rsidR="00F90BFB" w:rsidRDefault="00F90BFB" w:rsidP="00C460B6"/>
    <w:p w14:paraId="36EA6B43" w14:textId="0F068409" w:rsidR="003712AD" w:rsidRPr="00A779EB" w:rsidRDefault="003712AD" w:rsidP="00C460B6">
      <w:pPr>
        <w:rPr>
          <w:b/>
          <w:bCs/>
          <w:u w:val="single"/>
        </w:rPr>
      </w:pPr>
      <w:r w:rsidRPr="00A779EB">
        <w:rPr>
          <w:b/>
          <w:bCs/>
          <w:u w:val="single"/>
        </w:rPr>
        <w:t>5.  Triggers for Pausing Caregiver Visits</w:t>
      </w:r>
    </w:p>
    <w:p w14:paraId="1F6007D3" w14:textId="0F6655AD" w:rsidR="00D1596F" w:rsidRDefault="21A9581C" w:rsidP="74ED78A8">
      <w:pPr>
        <w:ind w:left="720"/>
      </w:pPr>
      <w:r w:rsidRPr="006F15D2">
        <w:t>a.</w:t>
      </w:r>
      <w:r w:rsidR="445E3AA1">
        <w:t xml:space="preserve"> </w:t>
      </w:r>
      <w:r w:rsidR="4FDF9838">
        <w:t>ECG visits will be prohibited during a resident 14-day quarantine – exceptions will be made for compassionate care visits</w:t>
      </w:r>
    </w:p>
    <w:p w14:paraId="24852CB3" w14:textId="380F2639" w:rsidR="00D1596F" w:rsidRDefault="4FDF9838" w:rsidP="142F7E67">
      <w:pPr>
        <w:ind w:left="720"/>
      </w:pPr>
      <w:r>
        <w:t>b. ECG visits will be prohibited if a resident is COVID-19 positive or symptomatic – exceptions will be made for compassionate care visits.</w:t>
      </w:r>
    </w:p>
    <w:p w14:paraId="5C95E0BB" w14:textId="490F7BC9" w:rsidR="00D1596F" w:rsidRDefault="4FDF9838" w:rsidP="74ED78A8">
      <w:pPr>
        <w:ind w:left="720"/>
      </w:pPr>
      <w:r>
        <w:t xml:space="preserve">c. </w:t>
      </w:r>
      <w:r w:rsidR="54294164">
        <w:t>V</w:t>
      </w:r>
      <w:r w:rsidR="445E3AA1">
        <w:t xml:space="preserve">isiting rights may be restricted or revoked </w:t>
      </w:r>
      <w:r w:rsidR="54294164">
        <w:t xml:space="preserve">for individual ECGs if </w:t>
      </w:r>
      <w:r w:rsidR="5F1287E5">
        <w:t xml:space="preserve">communicated </w:t>
      </w:r>
      <w:r w:rsidR="00545CF8">
        <w:tab/>
      </w:r>
      <w:r w:rsidR="54294164">
        <w:t>safety measures are not followed</w:t>
      </w:r>
      <w:r w:rsidR="5F1287E5">
        <w:t>.</w:t>
      </w:r>
    </w:p>
    <w:p w14:paraId="33C80C2D" w14:textId="3E0A5498" w:rsidR="00545CF8" w:rsidRDefault="14409DE5" w:rsidP="142F7E67">
      <w:pPr>
        <w:ind w:left="720"/>
      </w:pPr>
      <w:r>
        <w:t>d</w:t>
      </w:r>
      <w:r w:rsidR="5F1287E5">
        <w:t xml:space="preserve">. </w:t>
      </w:r>
      <w:r w:rsidR="445E3AA1">
        <w:t xml:space="preserve"> </w:t>
      </w:r>
      <w:r w:rsidR="5F1287E5">
        <w:t>Visiting rights will be revoked for the</w:t>
      </w:r>
      <w:r w:rsidR="66E182F0">
        <w:t xml:space="preserve"> </w:t>
      </w:r>
      <w:r w:rsidR="6EC3A06D">
        <w:t xml:space="preserve">ECG </w:t>
      </w:r>
      <w:r w:rsidR="1DAD1F63">
        <w:t>i</w:t>
      </w:r>
      <w:r w:rsidR="7BB9C367">
        <w:t>f they are</w:t>
      </w:r>
      <w:r w:rsidR="1DAD1F63">
        <w:t xml:space="preserve"> COVID-19 positive or </w:t>
      </w:r>
      <w:r w:rsidR="6765BA5A">
        <w:t>are</w:t>
      </w:r>
      <w:r w:rsidR="1DAD1F63">
        <w:t xml:space="preserve"> </w:t>
      </w:r>
      <w:r w:rsidR="00545CF8">
        <w:tab/>
      </w:r>
      <w:r w:rsidR="1DAD1F63">
        <w:t>exhibiting signs or symptoms of COVID-19, until</w:t>
      </w:r>
      <w:r w:rsidR="368A91F9">
        <w:t xml:space="preserve"> one of the following criteria are met:</w:t>
      </w:r>
    </w:p>
    <w:p w14:paraId="3CF60BD0" w14:textId="77777777" w:rsidR="007F2DF2" w:rsidRDefault="007F2DF2" w:rsidP="00545CF8">
      <w:pPr>
        <w:rPr>
          <w:rStyle w:val="Emphasis"/>
          <w:rFonts w:ascii="Helvetica Neue" w:hAnsi="Helvetica Neue"/>
          <w:color w:val="000000"/>
          <w:sz w:val="26"/>
          <w:szCs w:val="26"/>
        </w:rPr>
      </w:pPr>
    </w:p>
    <w:p w14:paraId="15689A8C" w14:textId="5E0E4A5D" w:rsidR="00BC5CB3" w:rsidRPr="00545CF8" w:rsidRDefault="00BC5CB3" w:rsidP="142F7E67">
      <w:pPr>
        <w:ind w:firstLine="720"/>
      </w:pPr>
      <w:r w:rsidRPr="142F7E67">
        <w:rPr>
          <w:rStyle w:val="Emphasis"/>
          <w:color w:val="000000" w:themeColor="text1"/>
        </w:rPr>
        <w:t>Symptom-based strategy</w:t>
      </w:r>
      <w:r w:rsidRPr="142F7E67">
        <w:rPr>
          <w:color w:val="000000" w:themeColor="text1"/>
        </w:rPr>
        <w:t xml:space="preserve">. Exclude from </w:t>
      </w:r>
      <w:r w:rsidR="17B1581C" w:rsidRPr="142F7E67">
        <w:rPr>
          <w:color w:val="000000" w:themeColor="text1"/>
        </w:rPr>
        <w:t xml:space="preserve">visits </w:t>
      </w:r>
      <w:r w:rsidRPr="142F7E67">
        <w:rPr>
          <w:color w:val="000000" w:themeColor="text1"/>
        </w:rPr>
        <w:t>until:</w:t>
      </w:r>
    </w:p>
    <w:p w14:paraId="39327487" w14:textId="5442B1B3" w:rsidR="00BC5CB3" w:rsidRPr="001948A1" w:rsidRDefault="00BC5CB3" w:rsidP="142F7E67">
      <w:pPr>
        <w:pStyle w:val="ListParagraph"/>
        <w:numPr>
          <w:ilvl w:val="1"/>
          <w:numId w:val="2"/>
        </w:numPr>
        <w:rPr>
          <w:rFonts w:asciiTheme="minorHAnsi" w:eastAsiaTheme="minorEastAsia" w:hAnsiTheme="minorHAnsi" w:cstheme="minorBidi"/>
          <w:color w:val="000000" w:themeColor="text1"/>
        </w:rPr>
      </w:pPr>
      <w:r w:rsidRPr="142F7E67">
        <w:rPr>
          <w:color w:val="000000" w:themeColor="text1"/>
        </w:rPr>
        <w:t>At least 3 days (72 hours) have passed</w:t>
      </w:r>
      <w:r w:rsidRPr="142F7E67">
        <w:rPr>
          <w:rStyle w:val="apple-converted-space"/>
          <w:color w:val="000000" w:themeColor="text1"/>
        </w:rPr>
        <w:t> </w:t>
      </w:r>
      <w:r w:rsidRPr="142F7E67">
        <w:rPr>
          <w:rStyle w:val="Emphasis"/>
          <w:color w:val="000000" w:themeColor="text1"/>
        </w:rPr>
        <w:t>since recovery</w:t>
      </w:r>
      <w:r w:rsidRPr="142F7E67">
        <w:rPr>
          <w:rStyle w:val="apple-converted-space"/>
          <w:color w:val="000000" w:themeColor="text1"/>
        </w:rPr>
        <w:t> </w:t>
      </w:r>
      <w:r w:rsidRPr="142F7E67">
        <w:rPr>
          <w:color w:val="000000" w:themeColor="text1"/>
        </w:rPr>
        <w:t>defined as resolution of fever without the use of fever-reducing medications</w:t>
      </w:r>
      <w:r w:rsidRPr="142F7E67">
        <w:rPr>
          <w:rStyle w:val="apple-converted-space"/>
          <w:color w:val="000000" w:themeColor="text1"/>
        </w:rPr>
        <w:t> </w:t>
      </w:r>
      <w:r w:rsidRPr="142F7E67">
        <w:rPr>
          <w:rStyle w:val="Strong"/>
          <w:color w:val="000000" w:themeColor="text1"/>
        </w:rPr>
        <w:t>and</w:t>
      </w:r>
      <w:r w:rsidR="007F2DF2" w:rsidRPr="142F7E67">
        <w:rPr>
          <w:rStyle w:val="Strong"/>
          <w:color w:val="000000" w:themeColor="text1"/>
        </w:rPr>
        <w:t xml:space="preserve"> </w:t>
      </w:r>
      <w:r w:rsidRPr="142F7E67">
        <w:rPr>
          <w:color w:val="000000" w:themeColor="text1"/>
        </w:rPr>
        <w:t>improvement in respiratory symptoms (e.g., cough, shortness of breath);</w:t>
      </w:r>
      <w:r w:rsidRPr="142F7E67">
        <w:rPr>
          <w:rStyle w:val="apple-converted-space"/>
          <w:color w:val="000000" w:themeColor="text1"/>
        </w:rPr>
        <w:t> </w:t>
      </w:r>
      <w:r w:rsidRPr="142F7E67">
        <w:rPr>
          <w:rStyle w:val="Strong"/>
          <w:color w:val="000000" w:themeColor="text1"/>
        </w:rPr>
        <w:t>and</w:t>
      </w:r>
      <w:r w:rsidRPr="142F7E67">
        <w:rPr>
          <w:color w:val="000000" w:themeColor="text1"/>
        </w:rPr>
        <w:t>,</w:t>
      </w:r>
    </w:p>
    <w:p w14:paraId="5E479E1A" w14:textId="69BAD04B" w:rsidR="00BC5CB3" w:rsidRPr="001948A1" w:rsidRDefault="47B6D04A" w:rsidP="4C7944D1">
      <w:pPr>
        <w:pStyle w:val="ListParagraph"/>
        <w:numPr>
          <w:ilvl w:val="1"/>
          <w:numId w:val="2"/>
        </w:numPr>
        <w:rPr>
          <w:rFonts w:asciiTheme="minorHAnsi" w:eastAsiaTheme="minorEastAsia" w:hAnsiTheme="minorHAnsi" w:cstheme="minorBidi"/>
          <w:color w:val="000000"/>
        </w:rPr>
      </w:pPr>
      <w:r w:rsidRPr="4C7944D1">
        <w:rPr>
          <w:color w:val="000000" w:themeColor="text1"/>
        </w:rPr>
        <w:t>At least 10 days have passed</w:t>
      </w:r>
      <w:r w:rsidRPr="4C7944D1">
        <w:rPr>
          <w:rStyle w:val="apple-converted-space"/>
          <w:color w:val="000000" w:themeColor="text1"/>
        </w:rPr>
        <w:t> </w:t>
      </w:r>
      <w:r w:rsidRPr="4C7944D1">
        <w:rPr>
          <w:rStyle w:val="Emphasis"/>
          <w:color w:val="000000" w:themeColor="text1"/>
        </w:rPr>
        <w:t>since symptoms first appeared</w:t>
      </w:r>
    </w:p>
    <w:p w14:paraId="467AC940" w14:textId="04F035BA" w:rsidR="142F7E67" w:rsidRDefault="142F7E67" w:rsidP="142F7E67">
      <w:pPr>
        <w:ind w:left="720"/>
        <w:rPr>
          <w:rStyle w:val="Emphasis"/>
          <w:color w:val="000000" w:themeColor="text1"/>
        </w:rPr>
      </w:pPr>
    </w:p>
    <w:p w14:paraId="7C892189" w14:textId="55F3C6D7" w:rsidR="00BC5CB3" w:rsidRPr="007F2DF2" w:rsidRDefault="00BC5CB3" w:rsidP="142F7E67">
      <w:pPr>
        <w:spacing w:before="100" w:beforeAutospacing="1" w:after="100" w:afterAutospacing="1"/>
        <w:ind w:left="360" w:firstLine="360"/>
        <w:rPr>
          <w:color w:val="000000"/>
        </w:rPr>
      </w:pPr>
      <w:r w:rsidRPr="142F7E67">
        <w:rPr>
          <w:rStyle w:val="Emphasis"/>
          <w:color w:val="000000" w:themeColor="text1"/>
        </w:rPr>
        <w:t>Test-based strategy.</w:t>
      </w:r>
      <w:r w:rsidRPr="142F7E67">
        <w:rPr>
          <w:rStyle w:val="apple-converted-space"/>
          <w:color w:val="000000" w:themeColor="text1"/>
        </w:rPr>
        <w:t> </w:t>
      </w:r>
      <w:r w:rsidRPr="142F7E67">
        <w:rPr>
          <w:color w:val="000000" w:themeColor="text1"/>
        </w:rPr>
        <w:t xml:space="preserve">Exclude from </w:t>
      </w:r>
      <w:r w:rsidR="18CA7CE4" w:rsidRPr="142F7E67">
        <w:rPr>
          <w:color w:val="000000" w:themeColor="text1"/>
        </w:rPr>
        <w:t xml:space="preserve">visits </w:t>
      </w:r>
      <w:r w:rsidRPr="142F7E67">
        <w:rPr>
          <w:color w:val="000000" w:themeColor="text1"/>
        </w:rPr>
        <w:t>until:</w:t>
      </w:r>
    </w:p>
    <w:p w14:paraId="12C009A9" w14:textId="179BE411" w:rsidR="00BC5CB3" w:rsidRPr="007F2DF2" w:rsidRDefault="00BC5CB3" w:rsidP="142F7E6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Theme="minorHAnsi" w:eastAsiaTheme="minorEastAsia" w:hAnsiTheme="minorHAnsi" w:cstheme="minorBidi"/>
          <w:color w:val="000000"/>
        </w:rPr>
      </w:pPr>
      <w:r w:rsidRPr="142F7E67">
        <w:rPr>
          <w:color w:val="000000" w:themeColor="text1"/>
        </w:rPr>
        <w:t>Resolution of fever without the use of fever-reducing medications</w:t>
      </w:r>
      <w:r w:rsidRPr="142F7E67">
        <w:rPr>
          <w:rStyle w:val="apple-converted-space"/>
          <w:color w:val="000000" w:themeColor="text1"/>
        </w:rPr>
        <w:t> </w:t>
      </w:r>
      <w:r w:rsidRPr="142F7E67">
        <w:rPr>
          <w:rStyle w:val="Strong"/>
          <w:color w:val="000000" w:themeColor="text1"/>
        </w:rPr>
        <w:t>and</w:t>
      </w:r>
    </w:p>
    <w:p w14:paraId="6C3F53E3" w14:textId="77777777" w:rsidR="00BC5CB3" w:rsidRPr="007F2DF2" w:rsidRDefault="00BC5CB3" w:rsidP="142F7E6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Theme="minorHAnsi" w:eastAsiaTheme="minorEastAsia" w:hAnsiTheme="minorHAnsi" w:cstheme="minorBidi"/>
          <w:color w:val="000000"/>
        </w:rPr>
      </w:pPr>
      <w:r w:rsidRPr="142F7E67">
        <w:rPr>
          <w:color w:val="000000" w:themeColor="text1"/>
        </w:rPr>
        <w:t>Improvement in respiratory symptoms (e.g., cough, shortness of breath),</w:t>
      </w:r>
      <w:r w:rsidRPr="142F7E67">
        <w:rPr>
          <w:rStyle w:val="apple-converted-space"/>
          <w:color w:val="000000" w:themeColor="text1"/>
        </w:rPr>
        <w:t> </w:t>
      </w:r>
      <w:r w:rsidRPr="142F7E67">
        <w:rPr>
          <w:rStyle w:val="Strong"/>
          <w:color w:val="000000" w:themeColor="text1"/>
        </w:rPr>
        <w:t>and</w:t>
      </w:r>
    </w:p>
    <w:p w14:paraId="54820DD8" w14:textId="77777777" w:rsidR="00BC5CB3" w:rsidRPr="007F2DF2" w:rsidRDefault="47B6D04A" w:rsidP="74ED78A8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Theme="minorHAnsi" w:eastAsiaTheme="minorEastAsia" w:hAnsiTheme="minorHAnsi" w:cstheme="minorBidi"/>
          <w:color w:val="000000"/>
        </w:rPr>
      </w:pPr>
      <w:r w:rsidRPr="007F2DF2">
        <w:rPr>
          <w:color w:val="000000"/>
        </w:rPr>
        <w:t>Negative results of an FDA Emergency Use Authorized COVID-19 molecular assay for detection of SARS-CoV-2 RNA from at least two consecutive respiratory specimens collected ≥24 hours apart (total of two negative specimens)</w:t>
      </w:r>
      <w:r w:rsidRPr="142F7E67">
        <w:rPr>
          <w:color w:val="000000" w:themeColor="text1"/>
          <w:shd w:val="clear" w:color="auto" w:fill="FFFFFF"/>
        </w:rPr>
        <w:t>.</w:t>
      </w:r>
    </w:p>
    <w:p w14:paraId="1A5EACD1" w14:textId="0C7068FD" w:rsidR="74ED78A8" w:rsidRDefault="74ED78A8" w:rsidP="74ED78A8"/>
    <w:p w14:paraId="1694F506" w14:textId="240D9963" w:rsidR="003712AD" w:rsidRPr="00A779EB" w:rsidRDefault="00E3070F" w:rsidP="00C460B6">
      <w:pPr>
        <w:rPr>
          <w:u w:val="single"/>
        </w:rPr>
      </w:pPr>
      <w:r w:rsidRPr="00A779EB">
        <w:rPr>
          <w:b/>
          <w:bCs/>
          <w:u w:val="single"/>
        </w:rPr>
        <w:t>6. Concerns with Essential Caregiver Policy</w:t>
      </w:r>
      <w:r w:rsidR="00784DB5" w:rsidRPr="00A779EB">
        <w:rPr>
          <w:b/>
          <w:bCs/>
          <w:u w:val="single"/>
        </w:rPr>
        <w:t xml:space="preserve"> can be directed to</w:t>
      </w:r>
      <w:r w:rsidR="001350DD" w:rsidRPr="00A779EB">
        <w:rPr>
          <w:b/>
          <w:bCs/>
          <w:u w:val="single"/>
        </w:rPr>
        <w:t xml:space="preserve">:  </w:t>
      </w:r>
    </w:p>
    <w:p w14:paraId="0AE87D49" w14:textId="56247ED2" w:rsidR="00784DB5" w:rsidRDefault="00784DB5" w:rsidP="142F7E67">
      <w:pPr>
        <w:rPr>
          <w:highlight w:val="cyan"/>
        </w:rPr>
      </w:pPr>
      <w:r>
        <w:tab/>
      </w:r>
      <w:r w:rsidRPr="142F7E67">
        <w:t xml:space="preserve">a. </w:t>
      </w:r>
      <w:r w:rsidRPr="142F7E67">
        <w:rPr>
          <w:highlight w:val="cyan"/>
        </w:rPr>
        <w:t>XXXX (facility staff member)</w:t>
      </w:r>
    </w:p>
    <w:p w14:paraId="253DCD91" w14:textId="1BCEC560" w:rsidR="00784DB5" w:rsidRPr="00784DB5" w:rsidRDefault="00784DB5" w:rsidP="142F7E67">
      <w:pPr>
        <w:ind w:left="720"/>
        <w:rPr>
          <w:rStyle w:val="eop"/>
          <w:color w:val="000000" w:themeColor="text1"/>
        </w:rPr>
      </w:pPr>
      <w:r w:rsidRPr="142F7E67">
        <w:t xml:space="preserve">b. </w:t>
      </w:r>
      <w:r w:rsidRPr="142F7E67">
        <w:rPr>
          <w:rStyle w:val="normaltextrun"/>
          <w:color w:val="000000"/>
          <w:shd w:val="clear" w:color="auto" w:fill="FFFFFF"/>
        </w:rPr>
        <w:t>Office of Ombudsman for Long-Term Care at 651-431-2555 or 1-800-657-3591 to request advocacy services.</w:t>
      </w:r>
      <w:r w:rsidRPr="142F7E67">
        <w:rPr>
          <w:rStyle w:val="eop"/>
          <w:color w:val="000000"/>
          <w:shd w:val="clear" w:color="auto" w:fill="FFFFFF"/>
        </w:rPr>
        <w:t> </w:t>
      </w:r>
    </w:p>
    <w:sectPr w:rsidR="00784DB5" w:rsidRPr="00784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7F55"/>
    <w:multiLevelType w:val="hybridMultilevel"/>
    <w:tmpl w:val="BA88A66C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A27DC"/>
    <w:multiLevelType w:val="multilevel"/>
    <w:tmpl w:val="D226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A4B5A"/>
    <w:multiLevelType w:val="hybridMultilevel"/>
    <w:tmpl w:val="23CA86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6E3607"/>
    <w:multiLevelType w:val="multilevel"/>
    <w:tmpl w:val="BFFE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C01FD"/>
    <w:multiLevelType w:val="hybridMultilevel"/>
    <w:tmpl w:val="FFFFFFFF"/>
    <w:lvl w:ilvl="0" w:tplc="EAA65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E79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B00E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88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CA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18E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02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0F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2A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B5DDD"/>
    <w:multiLevelType w:val="multilevel"/>
    <w:tmpl w:val="7918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46B33"/>
    <w:multiLevelType w:val="multilevel"/>
    <w:tmpl w:val="A102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A54787"/>
    <w:multiLevelType w:val="hybridMultilevel"/>
    <w:tmpl w:val="FFFFFFFF"/>
    <w:lvl w:ilvl="0" w:tplc="8A045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C4CD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7A8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06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6A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87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08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E2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568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C7CB3"/>
    <w:multiLevelType w:val="hybridMultilevel"/>
    <w:tmpl w:val="587E4F2E"/>
    <w:lvl w:ilvl="0" w:tplc="9496BBA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E5"/>
    <w:rsid w:val="00027AAC"/>
    <w:rsid w:val="00033050"/>
    <w:rsid w:val="00041FD5"/>
    <w:rsid w:val="000539BE"/>
    <w:rsid w:val="00061FD6"/>
    <w:rsid w:val="000744F7"/>
    <w:rsid w:val="0008620F"/>
    <w:rsid w:val="00094A62"/>
    <w:rsid w:val="000A7F07"/>
    <w:rsid w:val="000B4D05"/>
    <w:rsid w:val="000C257D"/>
    <w:rsid w:val="000C4DEB"/>
    <w:rsid w:val="000C53A4"/>
    <w:rsid w:val="000D0F57"/>
    <w:rsid w:val="000F0D03"/>
    <w:rsid w:val="000F7732"/>
    <w:rsid w:val="001350DD"/>
    <w:rsid w:val="001440A5"/>
    <w:rsid w:val="00145216"/>
    <w:rsid w:val="001477E6"/>
    <w:rsid w:val="001525F1"/>
    <w:rsid w:val="00171714"/>
    <w:rsid w:val="001948A1"/>
    <w:rsid w:val="001C67BF"/>
    <w:rsid w:val="001D1F4E"/>
    <w:rsid w:val="001D2923"/>
    <w:rsid w:val="001E1F2B"/>
    <w:rsid w:val="001F1333"/>
    <w:rsid w:val="001F1468"/>
    <w:rsid w:val="001F3B64"/>
    <w:rsid w:val="001F6863"/>
    <w:rsid w:val="002245B6"/>
    <w:rsid w:val="002336CC"/>
    <w:rsid w:val="00240725"/>
    <w:rsid w:val="00244716"/>
    <w:rsid w:val="00250BBD"/>
    <w:rsid w:val="002563A6"/>
    <w:rsid w:val="00272C4E"/>
    <w:rsid w:val="0027328E"/>
    <w:rsid w:val="00274D8A"/>
    <w:rsid w:val="002C5A45"/>
    <w:rsid w:val="002C7E84"/>
    <w:rsid w:val="002F1AD2"/>
    <w:rsid w:val="00351CFF"/>
    <w:rsid w:val="00354700"/>
    <w:rsid w:val="003647BB"/>
    <w:rsid w:val="003712AD"/>
    <w:rsid w:val="00383DC2"/>
    <w:rsid w:val="003904B7"/>
    <w:rsid w:val="003A005E"/>
    <w:rsid w:val="003A49F3"/>
    <w:rsid w:val="003C2BE1"/>
    <w:rsid w:val="003E48F4"/>
    <w:rsid w:val="00436FE0"/>
    <w:rsid w:val="004625FE"/>
    <w:rsid w:val="00491F1A"/>
    <w:rsid w:val="004B697C"/>
    <w:rsid w:val="005057FD"/>
    <w:rsid w:val="00534D6F"/>
    <w:rsid w:val="00545CF8"/>
    <w:rsid w:val="00570412"/>
    <w:rsid w:val="005A442F"/>
    <w:rsid w:val="005A7818"/>
    <w:rsid w:val="005B7392"/>
    <w:rsid w:val="005C267B"/>
    <w:rsid w:val="00600618"/>
    <w:rsid w:val="00607714"/>
    <w:rsid w:val="00635902"/>
    <w:rsid w:val="00637A97"/>
    <w:rsid w:val="00642FA6"/>
    <w:rsid w:val="006642C9"/>
    <w:rsid w:val="00665DF7"/>
    <w:rsid w:val="00685A52"/>
    <w:rsid w:val="00694640"/>
    <w:rsid w:val="006955AC"/>
    <w:rsid w:val="006A5D49"/>
    <w:rsid w:val="006C5EA2"/>
    <w:rsid w:val="006F15D2"/>
    <w:rsid w:val="006F790D"/>
    <w:rsid w:val="00705622"/>
    <w:rsid w:val="00716844"/>
    <w:rsid w:val="007260DD"/>
    <w:rsid w:val="00734828"/>
    <w:rsid w:val="00740B97"/>
    <w:rsid w:val="007616AB"/>
    <w:rsid w:val="00770203"/>
    <w:rsid w:val="00784DB5"/>
    <w:rsid w:val="00791BE5"/>
    <w:rsid w:val="007A5C1F"/>
    <w:rsid w:val="007C0D03"/>
    <w:rsid w:val="007DDD85"/>
    <w:rsid w:val="007F2DF2"/>
    <w:rsid w:val="00836C63"/>
    <w:rsid w:val="00860653"/>
    <w:rsid w:val="008639C6"/>
    <w:rsid w:val="00867E71"/>
    <w:rsid w:val="00875FDF"/>
    <w:rsid w:val="00880588"/>
    <w:rsid w:val="00886081"/>
    <w:rsid w:val="008A007F"/>
    <w:rsid w:val="008B7967"/>
    <w:rsid w:val="008C4A2E"/>
    <w:rsid w:val="008F2097"/>
    <w:rsid w:val="0093309C"/>
    <w:rsid w:val="00937727"/>
    <w:rsid w:val="0096473E"/>
    <w:rsid w:val="00967ECD"/>
    <w:rsid w:val="00975833"/>
    <w:rsid w:val="0097B294"/>
    <w:rsid w:val="009D79D3"/>
    <w:rsid w:val="009E146F"/>
    <w:rsid w:val="009F4314"/>
    <w:rsid w:val="009F543B"/>
    <w:rsid w:val="00A0385B"/>
    <w:rsid w:val="00A156D3"/>
    <w:rsid w:val="00A24512"/>
    <w:rsid w:val="00A501D8"/>
    <w:rsid w:val="00A63E41"/>
    <w:rsid w:val="00A72569"/>
    <w:rsid w:val="00A76ACD"/>
    <w:rsid w:val="00A779EB"/>
    <w:rsid w:val="00A83641"/>
    <w:rsid w:val="00A85BC6"/>
    <w:rsid w:val="00A99544"/>
    <w:rsid w:val="00AA0748"/>
    <w:rsid w:val="00AB675E"/>
    <w:rsid w:val="00AD3FAC"/>
    <w:rsid w:val="00B06D50"/>
    <w:rsid w:val="00B43E77"/>
    <w:rsid w:val="00B47A45"/>
    <w:rsid w:val="00B55FB1"/>
    <w:rsid w:val="00B6173C"/>
    <w:rsid w:val="00B63BDB"/>
    <w:rsid w:val="00B66873"/>
    <w:rsid w:val="00B81909"/>
    <w:rsid w:val="00B96884"/>
    <w:rsid w:val="00BA4572"/>
    <w:rsid w:val="00BC5CB3"/>
    <w:rsid w:val="00BC619F"/>
    <w:rsid w:val="00BC6ECC"/>
    <w:rsid w:val="00BD2D35"/>
    <w:rsid w:val="00BE456E"/>
    <w:rsid w:val="00BF02DC"/>
    <w:rsid w:val="00BF41F0"/>
    <w:rsid w:val="00C16E54"/>
    <w:rsid w:val="00C355DC"/>
    <w:rsid w:val="00C460B6"/>
    <w:rsid w:val="00C51AEA"/>
    <w:rsid w:val="00C52A84"/>
    <w:rsid w:val="00C64C3C"/>
    <w:rsid w:val="00C921F5"/>
    <w:rsid w:val="00C96664"/>
    <w:rsid w:val="00CA58B3"/>
    <w:rsid w:val="00CD0165"/>
    <w:rsid w:val="00CF16E3"/>
    <w:rsid w:val="00CF6D9A"/>
    <w:rsid w:val="00D1422E"/>
    <w:rsid w:val="00D1596F"/>
    <w:rsid w:val="00D31939"/>
    <w:rsid w:val="00D46DAC"/>
    <w:rsid w:val="00D52ADC"/>
    <w:rsid w:val="00D711B8"/>
    <w:rsid w:val="00D71F62"/>
    <w:rsid w:val="00D84F2C"/>
    <w:rsid w:val="00D936AE"/>
    <w:rsid w:val="00D97D37"/>
    <w:rsid w:val="00DB03AB"/>
    <w:rsid w:val="00DF4DAD"/>
    <w:rsid w:val="00E039E3"/>
    <w:rsid w:val="00E3070F"/>
    <w:rsid w:val="00E54330"/>
    <w:rsid w:val="00E55149"/>
    <w:rsid w:val="00E81C5F"/>
    <w:rsid w:val="00E8552F"/>
    <w:rsid w:val="00E8654C"/>
    <w:rsid w:val="00EB59DE"/>
    <w:rsid w:val="00EC4612"/>
    <w:rsid w:val="00ED056E"/>
    <w:rsid w:val="00F11DE4"/>
    <w:rsid w:val="00F15EF7"/>
    <w:rsid w:val="00F630F1"/>
    <w:rsid w:val="00F72299"/>
    <w:rsid w:val="00F90BFB"/>
    <w:rsid w:val="00FB7526"/>
    <w:rsid w:val="00FD1204"/>
    <w:rsid w:val="00FF4883"/>
    <w:rsid w:val="01DAA665"/>
    <w:rsid w:val="022396EE"/>
    <w:rsid w:val="0259FF79"/>
    <w:rsid w:val="02D1B49D"/>
    <w:rsid w:val="03F196CC"/>
    <w:rsid w:val="0BB707D2"/>
    <w:rsid w:val="0C72B051"/>
    <w:rsid w:val="0CBC6B3E"/>
    <w:rsid w:val="0CD9842B"/>
    <w:rsid w:val="0D63F3E8"/>
    <w:rsid w:val="0E749E84"/>
    <w:rsid w:val="0F9AEA4E"/>
    <w:rsid w:val="0FA92B6E"/>
    <w:rsid w:val="10B772A7"/>
    <w:rsid w:val="11841C3D"/>
    <w:rsid w:val="142F7E67"/>
    <w:rsid w:val="14409DE5"/>
    <w:rsid w:val="17B1581C"/>
    <w:rsid w:val="18CA7CE4"/>
    <w:rsid w:val="1AA0E317"/>
    <w:rsid w:val="1C1A047E"/>
    <w:rsid w:val="1CEC92CE"/>
    <w:rsid w:val="1DAD1F63"/>
    <w:rsid w:val="1E5C8615"/>
    <w:rsid w:val="21A9581C"/>
    <w:rsid w:val="23F8067C"/>
    <w:rsid w:val="26E74287"/>
    <w:rsid w:val="2B20FB60"/>
    <w:rsid w:val="2CBBBB0C"/>
    <w:rsid w:val="2D10537E"/>
    <w:rsid w:val="2D4672F7"/>
    <w:rsid w:val="2DF3498D"/>
    <w:rsid w:val="3039EC9C"/>
    <w:rsid w:val="308CF691"/>
    <w:rsid w:val="31A39EF7"/>
    <w:rsid w:val="33B62F4D"/>
    <w:rsid w:val="340AD063"/>
    <w:rsid w:val="35E016D4"/>
    <w:rsid w:val="368A91F9"/>
    <w:rsid w:val="39CD371D"/>
    <w:rsid w:val="3B34F6B2"/>
    <w:rsid w:val="3BD07463"/>
    <w:rsid w:val="3BD125DB"/>
    <w:rsid w:val="3C2A8444"/>
    <w:rsid w:val="3D3C9FD2"/>
    <w:rsid w:val="3FB6B2D9"/>
    <w:rsid w:val="43D6B2B2"/>
    <w:rsid w:val="445E3AA1"/>
    <w:rsid w:val="478829D8"/>
    <w:rsid w:val="47B6D04A"/>
    <w:rsid w:val="487D865A"/>
    <w:rsid w:val="49ABBA73"/>
    <w:rsid w:val="4C39A3E5"/>
    <w:rsid w:val="4C7944D1"/>
    <w:rsid w:val="4E317EB6"/>
    <w:rsid w:val="4EFD7B89"/>
    <w:rsid w:val="4F574891"/>
    <w:rsid w:val="4FDF9838"/>
    <w:rsid w:val="52CA446D"/>
    <w:rsid w:val="54294164"/>
    <w:rsid w:val="54CDEE01"/>
    <w:rsid w:val="58F93439"/>
    <w:rsid w:val="5A0141A0"/>
    <w:rsid w:val="5C481865"/>
    <w:rsid w:val="5F1287E5"/>
    <w:rsid w:val="5F2B2C5D"/>
    <w:rsid w:val="6026ABC4"/>
    <w:rsid w:val="60CA56C2"/>
    <w:rsid w:val="61391A5E"/>
    <w:rsid w:val="62180005"/>
    <w:rsid w:val="624B1DD6"/>
    <w:rsid w:val="66E182F0"/>
    <w:rsid w:val="6765BA5A"/>
    <w:rsid w:val="68C4DFC7"/>
    <w:rsid w:val="695B5BF3"/>
    <w:rsid w:val="69D35B04"/>
    <w:rsid w:val="6E022431"/>
    <w:rsid w:val="6EC3A06D"/>
    <w:rsid w:val="6F3323F5"/>
    <w:rsid w:val="6FE2EB12"/>
    <w:rsid w:val="70330577"/>
    <w:rsid w:val="71C34336"/>
    <w:rsid w:val="72E75595"/>
    <w:rsid w:val="730AD7DB"/>
    <w:rsid w:val="73D173F3"/>
    <w:rsid w:val="74ED78A8"/>
    <w:rsid w:val="770D0266"/>
    <w:rsid w:val="778C456A"/>
    <w:rsid w:val="77F9AD56"/>
    <w:rsid w:val="7B7B103D"/>
    <w:rsid w:val="7BB9C367"/>
    <w:rsid w:val="7CAB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835EA"/>
  <w15:chartTrackingRefBased/>
  <w15:docId w15:val="{9ABA33E6-7ACA-4119-91B7-BF53A471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4B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8620F"/>
    <w:rPr>
      <w:i/>
      <w:iCs/>
    </w:rPr>
  </w:style>
  <w:style w:type="character" w:customStyle="1" w:styleId="apple-converted-space">
    <w:name w:val="apple-converted-space"/>
    <w:basedOn w:val="DefaultParagraphFont"/>
    <w:rsid w:val="0008620F"/>
  </w:style>
  <w:style w:type="character" w:styleId="Strong">
    <w:name w:val="Strong"/>
    <w:basedOn w:val="DefaultParagraphFont"/>
    <w:uiPriority w:val="22"/>
    <w:qFormat/>
    <w:rsid w:val="000862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62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8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8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B3"/>
    <w:rPr>
      <w:rFonts w:ascii="Segoe UI" w:eastAsia="Times New Roman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784DB5"/>
  </w:style>
  <w:style w:type="character" w:customStyle="1" w:styleId="eop">
    <w:name w:val="eop"/>
    <w:basedOn w:val="DefaultParagraphFont"/>
    <w:rsid w:val="0078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providers.org/members/2020/COVID_ppegrid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4D6EC54A2C342A8EDB8E3617A2A32" ma:contentTypeVersion="11" ma:contentTypeDescription="Create a new document." ma:contentTypeScope="" ma:versionID="80d1579780233c015347fe6df93e27f9">
  <xsd:schema xmlns:xsd="http://www.w3.org/2001/XMLSchema" xmlns:xs="http://www.w3.org/2001/XMLSchema" xmlns:p="http://schemas.microsoft.com/office/2006/metadata/properties" xmlns:ns2="aac8676a-f598-4fa5-bd74-062eff41aa03" xmlns:ns3="ed2b67e5-11bb-4b47-b61a-396de9ea4ad8" targetNamespace="http://schemas.microsoft.com/office/2006/metadata/properties" ma:root="true" ma:fieldsID="b4780283c03e900ce7c1be23a5c675d2" ns2:_="" ns3:_="">
    <xsd:import namespace="aac8676a-f598-4fa5-bd74-062eff41aa03"/>
    <xsd:import namespace="ed2b67e5-11bb-4b47-b61a-396de9ea4a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8676a-f598-4fa5-bd74-062eff41a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b67e5-11bb-4b47-b61a-396de9ea4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24923-2135-4E99-918D-037EA66D9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E262C-EC01-4BF7-B99C-72A493163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8676a-f598-4fa5-bd74-062eff41aa03"/>
    <ds:schemaRef ds:uri="ed2b67e5-11bb-4b47-b61a-396de9ea4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C01DFD-4E20-4670-9A4D-B31E8F6FA3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801</Words>
  <Characters>4570</Characters>
  <Application>Microsoft Office Word</Application>
  <DocSecurity>4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Cullen</dc:creator>
  <cp:keywords/>
  <dc:description/>
  <cp:lastModifiedBy>Jill Schewe</cp:lastModifiedBy>
  <cp:revision>110</cp:revision>
  <dcterms:created xsi:type="dcterms:W3CDTF">2020-07-10T14:17:00Z</dcterms:created>
  <dcterms:modified xsi:type="dcterms:W3CDTF">2020-07-10T15:22:00Z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0x0101007AD4D6EC54A2C342A8EDB8E3617A2A32</vt:lpwstr>
  </property>
</Properties>
</file>